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CF44" w14:textId="14B622DF" w:rsidR="004A4EC3" w:rsidRPr="00C14680" w:rsidRDefault="008F7B33" w:rsidP="006D5438">
      <w:pPr>
        <w:spacing w:before="60" w:line="360" w:lineRule="auto"/>
        <w:rPr>
          <w:rFonts w:eastAsiaTheme="majorEastAsia" w:cs="Times New Roman (Headings CS)"/>
          <w:b/>
          <w:color w:val="CC5733"/>
          <w:sz w:val="20"/>
          <w:szCs w:val="20"/>
        </w:rPr>
      </w:pPr>
      <w:r>
        <w:rPr>
          <w:rFonts w:eastAsiaTheme="majorEastAsia" w:cs="Times New Roman (Headings CS)"/>
          <w:b/>
          <w:color w:val="CC5733"/>
          <w:sz w:val="30"/>
          <w:szCs w:val="30"/>
        </w:rPr>
        <w:t>Principal Policy Officer</w:t>
      </w:r>
      <w:r w:rsidR="004A4EC3" w:rsidRPr="00C14680">
        <w:rPr>
          <w:rFonts w:eastAsiaTheme="majorEastAsia" w:cs="Times New Roman (Headings CS)"/>
          <w:b/>
          <w:color w:val="CC5733"/>
          <w:sz w:val="30"/>
          <w:szCs w:val="30"/>
        </w:rPr>
        <w:t xml:space="preserve">, </w:t>
      </w:r>
      <w:r w:rsidR="006A1E28">
        <w:rPr>
          <w:rFonts w:eastAsiaTheme="majorEastAsia" w:cs="Times New Roman (Headings CS)"/>
          <w:b/>
          <w:color w:val="CC5733"/>
          <w:sz w:val="30"/>
          <w:szCs w:val="30"/>
        </w:rPr>
        <w:t xml:space="preserve">Level </w:t>
      </w:r>
      <w:r>
        <w:rPr>
          <w:rFonts w:eastAsiaTheme="majorEastAsia" w:cs="Times New Roman (Headings CS)"/>
          <w:b/>
          <w:color w:val="CC5733"/>
          <w:sz w:val="30"/>
          <w:szCs w:val="30"/>
        </w:rPr>
        <w:t>7</w:t>
      </w:r>
      <w:r w:rsidR="004A4EC3" w:rsidRPr="00C14680">
        <w:rPr>
          <w:rFonts w:eastAsiaTheme="majorEastAsia" w:cs="Times New Roman (Headings CS)"/>
          <w:b/>
          <w:color w:val="CC5733"/>
          <w:sz w:val="30"/>
          <w:szCs w:val="30"/>
        </w:rPr>
        <w:t xml:space="preserve"> (</w:t>
      </w:r>
      <w:r>
        <w:rPr>
          <w:rFonts w:eastAsiaTheme="majorEastAsia" w:cs="Times New Roman (Headings CS)"/>
          <w:b/>
          <w:color w:val="CC5733"/>
          <w:sz w:val="30"/>
          <w:szCs w:val="30"/>
        </w:rPr>
        <w:t>DPC18117</w:t>
      </w:r>
      <w:r w:rsidR="004A4EC3" w:rsidRPr="00C14680">
        <w:rPr>
          <w:rFonts w:eastAsiaTheme="majorEastAsia" w:cs="Times New Roman (Headings CS)"/>
          <w:b/>
          <w:color w:val="CC5733"/>
          <w:sz w:val="30"/>
          <w:szCs w:val="30"/>
        </w:rPr>
        <w:t>)</w:t>
      </w:r>
    </w:p>
    <w:tbl>
      <w:tblPr>
        <w:tblStyle w:val="TableGrid"/>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552"/>
        <w:gridCol w:w="2747"/>
        <w:gridCol w:w="1647"/>
        <w:gridCol w:w="2410"/>
      </w:tblGrid>
      <w:tr w:rsidR="004A4EC3" w:rsidRPr="00D007E3" w14:paraId="361BAA74" w14:textId="77777777" w:rsidTr="009514B1">
        <w:trPr>
          <w:trHeight w:val="465"/>
        </w:trPr>
        <w:tc>
          <w:tcPr>
            <w:tcW w:w="2552" w:type="dxa"/>
          </w:tcPr>
          <w:p w14:paraId="77A0CA35" w14:textId="35EFD895" w:rsidR="004A4EC3" w:rsidRPr="00D007E3" w:rsidRDefault="009514B1" w:rsidP="006D5438">
            <w:pPr>
              <w:pStyle w:val="Formfields"/>
              <w:framePr w:hSpace="0" w:wrap="auto" w:vAnchor="margin" w:yAlign="inline"/>
              <w:suppressOverlap w:val="0"/>
              <w:rPr>
                <w:color w:val="000000" w:themeColor="text1"/>
              </w:rPr>
            </w:pPr>
            <w:r>
              <w:t>Division/</w:t>
            </w:r>
            <w:r w:rsidR="004A4EC3" w:rsidRPr="00D007E3">
              <w:t xml:space="preserve">Directorate: </w:t>
            </w:r>
          </w:p>
        </w:tc>
        <w:tc>
          <w:tcPr>
            <w:tcW w:w="2747" w:type="dxa"/>
          </w:tcPr>
          <w:p w14:paraId="6E7A5B79" w14:textId="49AE4A9E" w:rsidR="004A4EC3" w:rsidRPr="00D007E3" w:rsidRDefault="008F7B33" w:rsidP="006D5438">
            <w:r>
              <w:t>Intergovernmental Relation</w:t>
            </w:r>
            <w:r w:rsidR="0004675A">
              <w:t>s</w:t>
            </w:r>
            <w:r>
              <w:t xml:space="preserve"> and Strategic Priorities</w:t>
            </w:r>
          </w:p>
        </w:tc>
        <w:tc>
          <w:tcPr>
            <w:tcW w:w="1647" w:type="dxa"/>
          </w:tcPr>
          <w:p w14:paraId="67141356" w14:textId="77777777" w:rsidR="004A4EC3" w:rsidRPr="00D007E3" w:rsidRDefault="004A4EC3" w:rsidP="006D5438">
            <w:pPr>
              <w:pStyle w:val="Formfields"/>
              <w:framePr w:hSpace="0" w:wrap="auto" w:vAnchor="margin" w:yAlign="inline"/>
              <w:suppressOverlap w:val="0"/>
            </w:pPr>
            <w:r w:rsidRPr="00D007E3">
              <w:t xml:space="preserve">Reports to: </w:t>
            </w:r>
          </w:p>
        </w:tc>
        <w:tc>
          <w:tcPr>
            <w:tcW w:w="2410" w:type="dxa"/>
          </w:tcPr>
          <w:p w14:paraId="0836B71E" w14:textId="40E9C351" w:rsidR="004A4EC3" w:rsidRPr="006A1E28" w:rsidRDefault="008F7B33" w:rsidP="006D5438">
            <w:pPr>
              <w:rPr>
                <w:color w:val="000000" w:themeColor="text1"/>
              </w:rPr>
            </w:pPr>
            <w:r>
              <w:rPr>
                <w:color w:val="000000" w:themeColor="text1"/>
              </w:rPr>
              <w:t>Manager</w:t>
            </w:r>
          </w:p>
        </w:tc>
      </w:tr>
      <w:tr w:rsidR="004A4EC3" w:rsidRPr="00D007E3" w14:paraId="77F9C586" w14:textId="77777777" w:rsidTr="009514B1">
        <w:trPr>
          <w:trHeight w:val="85"/>
        </w:trPr>
        <w:tc>
          <w:tcPr>
            <w:tcW w:w="2552" w:type="dxa"/>
          </w:tcPr>
          <w:p w14:paraId="5E66F297" w14:textId="1455B585" w:rsidR="004A4EC3" w:rsidRPr="00D007E3" w:rsidRDefault="004A4EC3" w:rsidP="006D5438">
            <w:pPr>
              <w:pStyle w:val="Default"/>
              <w:rPr>
                <w:color w:val="000000" w:themeColor="text1"/>
              </w:rPr>
            </w:pPr>
            <w:r w:rsidRPr="00D007E3">
              <w:rPr>
                <w:color w:val="CC5733"/>
              </w:rPr>
              <w:t xml:space="preserve">Branch/Section: </w:t>
            </w:r>
          </w:p>
        </w:tc>
        <w:tc>
          <w:tcPr>
            <w:tcW w:w="2747" w:type="dxa"/>
          </w:tcPr>
          <w:p w14:paraId="2E756B84" w14:textId="07831879" w:rsidR="004A4EC3" w:rsidRPr="00D007E3" w:rsidRDefault="008F7B33" w:rsidP="006D5438">
            <w:r>
              <w:t>Intergovernmental Relations</w:t>
            </w:r>
          </w:p>
        </w:tc>
        <w:tc>
          <w:tcPr>
            <w:tcW w:w="1647" w:type="dxa"/>
          </w:tcPr>
          <w:p w14:paraId="69AA6691" w14:textId="77777777" w:rsidR="004A4EC3" w:rsidRPr="00D007E3" w:rsidRDefault="004A4EC3" w:rsidP="006D5438">
            <w:pPr>
              <w:pStyle w:val="Formfields"/>
              <w:framePr w:hSpace="0" w:wrap="auto" w:vAnchor="margin" w:yAlign="inline"/>
              <w:suppressOverlap w:val="0"/>
            </w:pPr>
            <w:r w:rsidRPr="00D007E3">
              <w:t xml:space="preserve">Supervises: </w:t>
            </w:r>
          </w:p>
        </w:tc>
        <w:tc>
          <w:tcPr>
            <w:tcW w:w="2410" w:type="dxa"/>
          </w:tcPr>
          <w:p w14:paraId="492DAAAF" w14:textId="0DF7CE2E" w:rsidR="004A4EC3" w:rsidRPr="006A1E28" w:rsidRDefault="006A1E28" w:rsidP="006D5438">
            <w:pPr>
              <w:rPr>
                <w:color w:val="000000" w:themeColor="text1"/>
              </w:rPr>
            </w:pPr>
            <w:r w:rsidRPr="006A1E28">
              <w:rPr>
                <w:color w:val="000000" w:themeColor="text1"/>
              </w:rPr>
              <w:t>Nil</w:t>
            </w:r>
            <w:r w:rsidR="004A4EC3" w:rsidRPr="006A1E28">
              <w:rPr>
                <w:color w:val="000000" w:themeColor="text1"/>
              </w:rPr>
              <w:t xml:space="preserve"> </w:t>
            </w:r>
          </w:p>
        </w:tc>
      </w:tr>
      <w:tr w:rsidR="004A4EC3" w:rsidRPr="00D007E3" w14:paraId="6BBCF80B" w14:textId="77777777" w:rsidTr="009514B1">
        <w:trPr>
          <w:trHeight w:val="434"/>
        </w:trPr>
        <w:tc>
          <w:tcPr>
            <w:tcW w:w="2552" w:type="dxa"/>
          </w:tcPr>
          <w:p w14:paraId="441BB099" w14:textId="16118058" w:rsidR="004A4EC3" w:rsidRPr="00D007E3" w:rsidRDefault="004A4EC3" w:rsidP="006D5438">
            <w:pPr>
              <w:pStyle w:val="Default"/>
              <w:rPr>
                <w:color w:val="000000" w:themeColor="text1"/>
              </w:rPr>
            </w:pPr>
            <w:r w:rsidRPr="00D007E3">
              <w:rPr>
                <w:color w:val="CC5733"/>
              </w:rPr>
              <w:t xml:space="preserve">Location: </w:t>
            </w:r>
          </w:p>
        </w:tc>
        <w:tc>
          <w:tcPr>
            <w:tcW w:w="2747" w:type="dxa"/>
          </w:tcPr>
          <w:p w14:paraId="7552AE47" w14:textId="775F0025" w:rsidR="004A4EC3" w:rsidRPr="00D007E3" w:rsidRDefault="004E2FC6" w:rsidP="006D5438">
            <w:r>
              <w:t xml:space="preserve">West Perth </w:t>
            </w:r>
          </w:p>
        </w:tc>
        <w:tc>
          <w:tcPr>
            <w:tcW w:w="1647" w:type="dxa"/>
          </w:tcPr>
          <w:p w14:paraId="7FF4CBAE" w14:textId="0CC22394" w:rsidR="004A4EC3" w:rsidRPr="00D007E3" w:rsidRDefault="004A4EC3" w:rsidP="006D5438">
            <w:pPr>
              <w:pStyle w:val="Default"/>
              <w:rPr>
                <w:color w:val="CC5733"/>
              </w:rPr>
            </w:pPr>
          </w:p>
        </w:tc>
        <w:tc>
          <w:tcPr>
            <w:tcW w:w="2410" w:type="dxa"/>
          </w:tcPr>
          <w:p w14:paraId="6D36D602" w14:textId="0EDB96F9" w:rsidR="004A4EC3" w:rsidRPr="00D007E3" w:rsidRDefault="004A4EC3" w:rsidP="006D5438"/>
        </w:tc>
      </w:tr>
    </w:tbl>
    <w:p w14:paraId="0659CC79" w14:textId="4FE04358" w:rsidR="00756536" w:rsidRPr="006D5438" w:rsidRDefault="004A4EC3" w:rsidP="006D5438">
      <w:pPr>
        <w:pStyle w:val="Heading1"/>
        <w:jc w:val="both"/>
        <w:rPr>
          <w:sz w:val="24"/>
          <w:szCs w:val="24"/>
        </w:rPr>
      </w:pPr>
      <w:r w:rsidRPr="006D5438">
        <w:rPr>
          <w:sz w:val="24"/>
          <w:szCs w:val="24"/>
        </w:rPr>
        <w:t>Our vision is to lead a connected government that delivers a brighter future for Western Australians</w:t>
      </w:r>
      <w:r w:rsidR="005257D4" w:rsidRPr="006D5438">
        <w:rPr>
          <w:sz w:val="24"/>
          <w:szCs w:val="24"/>
        </w:rPr>
        <w:t xml:space="preserve">. </w:t>
      </w:r>
    </w:p>
    <w:p w14:paraId="064B12A5" w14:textId="4BCEFCFE" w:rsidR="00756536" w:rsidRPr="006D5438" w:rsidRDefault="00756536" w:rsidP="006D5438">
      <w:pPr>
        <w:spacing w:line="240" w:lineRule="auto"/>
        <w:jc w:val="both"/>
      </w:pPr>
      <w:r w:rsidRPr="006D5438">
        <w:t>The Department of the Premier and Cabinet (DPC) leads the public sector in providing whole-of-Government advice and support to the Premier and Cabinet in their service of the WA community.</w:t>
      </w:r>
      <w:r w:rsidR="00044FF3" w:rsidRPr="006D5438">
        <w:t xml:space="preserve"> </w:t>
      </w:r>
    </w:p>
    <w:p w14:paraId="1AEF4CDD" w14:textId="3AB0B98D" w:rsidR="00FE0D47" w:rsidRPr="006D5438" w:rsidRDefault="00FE0D47" w:rsidP="006D5438">
      <w:pPr>
        <w:spacing w:line="240" w:lineRule="auto"/>
        <w:jc w:val="both"/>
      </w:pPr>
      <w:r w:rsidRPr="006D5438">
        <w:t xml:space="preserve">Our areas of responsibility include Office of Digital Government, Intergovernmental Relations and Strategic Priorities, Aboriginal Engagement and Community Policy, Infrastructure, Economy and Environment and </w:t>
      </w:r>
      <w:r w:rsidR="00892424" w:rsidRPr="006D5438">
        <w:t>State Services</w:t>
      </w:r>
      <w:r w:rsidRPr="006D5438">
        <w:t>.</w:t>
      </w:r>
    </w:p>
    <w:p w14:paraId="692C6C49" w14:textId="71F38795" w:rsidR="003A787A" w:rsidRPr="006D5438" w:rsidRDefault="00A00DF9" w:rsidP="006D5438">
      <w:pPr>
        <w:spacing w:line="240" w:lineRule="auto"/>
        <w:jc w:val="both"/>
        <w:rPr>
          <w:rFonts w:ascii="Neue Haas Grotesk Text Pro" w:hAnsi="Neue Haas Grotesk Text Pro"/>
          <w:color w:val="000000" w:themeColor="text1"/>
        </w:rPr>
      </w:pPr>
      <w:r w:rsidRPr="006D5438">
        <w:t>Join us and work in a role where you can make a real difference to the lives of children, families, individuals and communities throughout Western Australia.</w:t>
      </w:r>
      <w:bookmarkStart w:id="0" w:name="_Hlk125896025"/>
    </w:p>
    <w:p w14:paraId="5022EB32" w14:textId="3C4E53A4" w:rsidR="00477E21" w:rsidRPr="006D5438" w:rsidRDefault="003522C2" w:rsidP="006D5438">
      <w:pPr>
        <w:pStyle w:val="Heading1"/>
        <w:spacing w:before="0" w:after="0"/>
        <w:jc w:val="both"/>
        <w:rPr>
          <w:sz w:val="24"/>
          <w:szCs w:val="24"/>
        </w:rPr>
      </w:pPr>
      <w:r w:rsidRPr="006D5438">
        <w:rPr>
          <w:sz w:val="24"/>
          <w:szCs w:val="24"/>
        </w:rPr>
        <w:t xml:space="preserve">Our values, </w:t>
      </w:r>
      <w:r w:rsidRPr="006D5438">
        <w:rPr>
          <w:i/>
          <w:iCs/>
          <w:sz w:val="24"/>
          <w:szCs w:val="24"/>
        </w:rPr>
        <w:t>Leadership, Connection and Impact</w:t>
      </w:r>
      <w:r w:rsidRPr="006D5438">
        <w:rPr>
          <w:sz w:val="24"/>
          <w:szCs w:val="24"/>
        </w:rPr>
        <w:t xml:space="preserve">, underpin the way we work. </w:t>
      </w:r>
    </w:p>
    <w:bookmarkEnd w:id="0"/>
    <w:p w14:paraId="59C7A3AD" w14:textId="77777777" w:rsidR="006D5438" w:rsidRDefault="006D5438" w:rsidP="006D5438">
      <w:pPr>
        <w:pStyle w:val="Heading1"/>
        <w:spacing w:before="0" w:after="0"/>
        <w:jc w:val="both"/>
        <w:rPr>
          <w:rFonts w:cs="Arial"/>
          <w:color w:val="242424"/>
          <w:sz w:val="24"/>
          <w:szCs w:val="24"/>
          <w:shd w:val="clear" w:color="auto" w:fill="FFFFFF"/>
        </w:rPr>
      </w:pPr>
    </w:p>
    <w:p w14:paraId="6364B66A" w14:textId="7F2F6F24" w:rsidR="006963C4" w:rsidRPr="006D5438" w:rsidRDefault="008F7B33" w:rsidP="006D5438">
      <w:pPr>
        <w:pStyle w:val="Heading1"/>
        <w:spacing w:before="0" w:after="0"/>
        <w:jc w:val="both"/>
        <w:rPr>
          <w:b w:val="0"/>
          <w:bCs/>
          <w:sz w:val="24"/>
          <w:szCs w:val="24"/>
        </w:rPr>
      </w:pPr>
      <w:r w:rsidRPr="006D5438">
        <w:rPr>
          <w:rFonts w:cs="Arial"/>
          <w:b w:val="0"/>
          <w:bCs/>
          <w:color w:val="242424"/>
          <w:sz w:val="24"/>
          <w:szCs w:val="24"/>
          <w:shd w:val="clear" w:color="auto" w:fill="FFFFFF"/>
        </w:rPr>
        <w:t>The Intergovernmental Relations Directorate is the State Government’s and Department’s key advisor on Commonwealth-State matters. It also drives collaboration across the Western Australian Government on key intergovernmental policy priorities, strengthens inter-jurisdictional relationships and works to achieve better outcomes for Western Australia in relation to Commonwealth-State policy priorities. The Directorate also leads engagement with the Australian Government on the delivery of state-type services to the Indian Ocean Territories and on national security and emergency management matters.</w:t>
      </w:r>
    </w:p>
    <w:p w14:paraId="7D1D0209" w14:textId="551A0CAA" w:rsidR="00477E21" w:rsidRPr="006D5438" w:rsidRDefault="00A00DF9" w:rsidP="006D5438">
      <w:pPr>
        <w:pStyle w:val="Heading1"/>
        <w:jc w:val="both"/>
        <w:rPr>
          <w:b w:val="0"/>
          <w:sz w:val="24"/>
          <w:szCs w:val="24"/>
        </w:rPr>
      </w:pPr>
      <w:r w:rsidRPr="006D5438">
        <w:rPr>
          <w:sz w:val="24"/>
          <w:szCs w:val="24"/>
        </w:rPr>
        <w:t xml:space="preserve">About the </w:t>
      </w:r>
      <w:r w:rsidR="00756536" w:rsidRPr="006D5438">
        <w:rPr>
          <w:sz w:val="24"/>
          <w:szCs w:val="24"/>
        </w:rPr>
        <w:t>Role</w:t>
      </w:r>
      <w:r w:rsidR="00C45F38" w:rsidRPr="006D5438">
        <w:rPr>
          <w:sz w:val="24"/>
          <w:szCs w:val="24"/>
        </w:rPr>
        <w:t xml:space="preserve"> </w:t>
      </w:r>
      <w:r w:rsidR="004A4EC3" w:rsidRPr="006D5438">
        <w:rPr>
          <w:sz w:val="24"/>
          <w:szCs w:val="24"/>
        </w:rPr>
        <w:t>and Responsibilities</w:t>
      </w:r>
    </w:p>
    <w:p w14:paraId="462C62B7" w14:textId="1E749A77" w:rsidR="004A3655" w:rsidRPr="006D5438" w:rsidRDefault="008F7B33" w:rsidP="006D5438">
      <w:pPr>
        <w:spacing w:after="0" w:line="240" w:lineRule="auto"/>
        <w:jc w:val="both"/>
      </w:pPr>
      <w:r w:rsidRPr="006D5438">
        <w:t xml:space="preserve">The Principal Policy Officer provides high level policy support and advice and undertakes complex research and analysis in relation to the development, coordination, implementation, and review of Government policies from a </w:t>
      </w:r>
      <w:proofErr w:type="gramStart"/>
      <w:r w:rsidRPr="006D5438">
        <w:t>cross portfolio</w:t>
      </w:r>
      <w:proofErr w:type="gramEnd"/>
      <w:r w:rsidRPr="006D5438">
        <w:t xml:space="preserve"> perspective.</w:t>
      </w:r>
    </w:p>
    <w:p w14:paraId="2262D6E6" w14:textId="77777777" w:rsidR="008F7B33" w:rsidRPr="006D5438" w:rsidRDefault="008F7B33" w:rsidP="006D5438">
      <w:pPr>
        <w:spacing w:after="0" w:line="240" w:lineRule="auto"/>
        <w:jc w:val="both"/>
        <w:rPr>
          <w:b/>
        </w:rPr>
      </w:pPr>
      <w:r w:rsidRPr="006D5438">
        <w:rPr>
          <w:b/>
        </w:rPr>
        <w:t xml:space="preserve">Strategic Alignment </w:t>
      </w:r>
    </w:p>
    <w:p w14:paraId="44DAE73B" w14:textId="77777777" w:rsidR="008F7B33" w:rsidRPr="006D5438" w:rsidRDefault="008F7B33" w:rsidP="006D5438">
      <w:pPr>
        <w:numPr>
          <w:ilvl w:val="0"/>
          <w:numId w:val="19"/>
        </w:numPr>
        <w:spacing w:after="0" w:line="240" w:lineRule="auto"/>
        <w:jc w:val="both"/>
      </w:pPr>
      <w:r w:rsidRPr="006D5438">
        <w:t xml:space="preserve">Lead the development and implementation of policy within the current government context. </w:t>
      </w:r>
    </w:p>
    <w:p w14:paraId="1CE5ACAF" w14:textId="77777777" w:rsidR="008F7B33" w:rsidRPr="006D5438" w:rsidRDefault="008F7B33" w:rsidP="006D5438">
      <w:pPr>
        <w:numPr>
          <w:ilvl w:val="0"/>
          <w:numId w:val="19"/>
        </w:numPr>
        <w:spacing w:after="0" w:line="240" w:lineRule="auto"/>
        <w:jc w:val="both"/>
      </w:pPr>
      <w:r w:rsidRPr="006D5438">
        <w:t>Understand the role, accountabilities, and obligations of public sector employees.</w:t>
      </w:r>
    </w:p>
    <w:p w14:paraId="321E7EC8" w14:textId="77777777" w:rsidR="008F7B33" w:rsidRPr="006D5438" w:rsidRDefault="008F7B33" w:rsidP="006D5438">
      <w:pPr>
        <w:numPr>
          <w:ilvl w:val="0"/>
          <w:numId w:val="19"/>
        </w:numPr>
        <w:spacing w:after="0" w:line="240" w:lineRule="auto"/>
        <w:jc w:val="both"/>
      </w:pPr>
      <w:r w:rsidRPr="006D5438">
        <w:lastRenderedPageBreak/>
        <w:t xml:space="preserve">Understand the political framework and apply existing legislation and policy within the current context. </w:t>
      </w:r>
    </w:p>
    <w:p w14:paraId="56F283E4" w14:textId="77777777" w:rsidR="008F7B33" w:rsidRPr="006D5438" w:rsidRDefault="008F7B33" w:rsidP="006D5438">
      <w:pPr>
        <w:numPr>
          <w:ilvl w:val="0"/>
          <w:numId w:val="19"/>
        </w:numPr>
        <w:spacing w:after="0" w:line="240" w:lineRule="auto"/>
        <w:jc w:val="both"/>
      </w:pPr>
      <w:r w:rsidRPr="006D5438">
        <w:t xml:space="preserve">Understand emerging trends with expert knowledge of the subject matters and whole of Government perspective. </w:t>
      </w:r>
    </w:p>
    <w:p w14:paraId="30BA9560" w14:textId="77777777" w:rsidR="008F7B33" w:rsidRPr="006D5438" w:rsidRDefault="008F7B33" w:rsidP="006D5438">
      <w:pPr>
        <w:numPr>
          <w:ilvl w:val="0"/>
          <w:numId w:val="19"/>
        </w:numPr>
        <w:spacing w:after="0" w:line="240" w:lineRule="auto"/>
        <w:jc w:val="both"/>
      </w:pPr>
      <w:r w:rsidRPr="006D5438">
        <w:t>Understand Federal/State relations environment and identify and promote State priorities and agendas in cross-jurisdictional forums.</w:t>
      </w:r>
    </w:p>
    <w:p w14:paraId="01014BA9" w14:textId="77777777" w:rsidR="008F7B33" w:rsidRPr="006D5438" w:rsidRDefault="008F7B33" w:rsidP="006D5438">
      <w:pPr>
        <w:numPr>
          <w:ilvl w:val="0"/>
          <w:numId w:val="19"/>
        </w:numPr>
        <w:spacing w:after="0" w:line="240" w:lineRule="auto"/>
        <w:jc w:val="both"/>
      </w:pPr>
      <w:r w:rsidRPr="006D5438">
        <w:t>Identify required policy outcomes and sources of evidence across the policy program from policy evaluation and identify issues that could affect future implementation.</w:t>
      </w:r>
    </w:p>
    <w:p w14:paraId="29C04652" w14:textId="77777777" w:rsidR="008F7B33" w:rsidRPr="006D5438" w:rsidRDefault="008F7B33" w:rsidP="006D5438">
      <w:pPr>
        <w:numPr>
          <w:ilvl w:val="0"/>
          <w:numId w:val="19"/>
        </w:numPr>
        <w:spacing w:after="0" w:line="240" w:lineRule="auto"/>
        <w:jc w:val="both"/>
      </w:pPr>
      <w:r w:rsidRPr="006D5438">
        <w:t>Understand and have awareness of cross-jurisdictional issues and directions.</w:t>
      </w:r>
    </w:p>
    <w:p w14:paraId="50568CE8" w14:textId="77777777" w:rsidR="008F7B33" w:rsidRPr="006D5438" w:rsidRDefault="008F7B33" w:rsidP="006D5438">
      <w:pPr>
        <w:spacing w:after="0" w:line="240" w:lineRule="auto"/>
        <w:jc w:val="both"/>
        <w:rPr>
          <w:b/>
        </w:rPr>
      </w:pPr>
      <w:r w:rsidRPr="006D5438">
        <w:rPr>
          <w:b/>
        </w:rPr>
        <w:t xml:space="preserve">Critical Thinking </w:t>
      </w:r>
    </w:p>
    <w:p w14:paraId="236892D0" w14:textId="77777777" w:rsidR="008F7B33" w:rsidRPr="006D5438" w:rsidRDefault="008F7B33" w:rsidP="006D5438">
      <w:pPr>
        <w:numPr>
          <w:ilvl w:val="0"/>
          <w:numId w:val="20"/>
        </w:numPr>
        <w:spacing w:after="0" w:line="240" w:lineRule="auto"/>
        <w:jc w:val="both"/>
        <w:rPr>
          <w:b/>
        </w:rPr>
      </w:pPr>
      <w:r w:rsidRPr="006D5438">
        <w:t xml:space="preserve">Evaluate the broader political, economic, ecological, social and technical environment to ensure appropriate research and data is available to develop policy options including the definition of the scope of the problem, opportunities and success criteria. </w:t>
      </w:r>
    </w:p>
    <w:p w14:paraId="7DD4EE5B" w14:textId="77777777" w:rsidR="008F7B33" w:rsidRPr="006D5438" w:rsidRDefault="008F7B33" w:rsidP="006D5438">
      <w:pPr>
        <w:numPr>
          <w:ilvl w:val="0"/>
          <w:numId w:val="20"/>
        </w:numPr>
        <w:spacing w:after="0" w:line="240" w:lineRule="auto"/>
        <w:jc w:val="both"/>
        <w:rPr>
          <w:b/>
        </w:rPr>
      </w:pPr>
      <w:r w:rsidRPr="006D5438">
        <w:t xml:space="preserve">Apply different research methodologies and data sets and identifies whether the policy approach will achieve required outcomes.  </w:t>
      </w:r>
    </w:p>
    <w:p w14:paraId="6CC90D1F" w14:textId="77777777" w:rsidR="008F7B33" w:rsidRPr="006D5438" w:rsidRDefault="008F7B33" w:rsidP="006D5438">
      <w:pPr>
        <w:numPr>
          <w:ilvl w:val="0"/>
          <w:numId w:val="20"/>
        </w:numPr>
        <w:spacing w:after="0" w:line="240" w:lineRule="auto"/>
        <w:jc w:val="both"/>
        <w:rPr>
          <w:b/>
        </w:rPr>
      </w:pPr>
      <w:r w:rsidRPr="006D5438">
        <w:t>Evaluate the cost effectiveness, including cost benefit analysis, social impact, environmental cost and value for money of policy options.</w:t>
      </w:r>
    </w:p>
    <w:p w14:paraId="78094609" w14:textId="77777777" w:rsidR="008F7B33" w:rsidRPr="006D5438" w:rsidRDefault="008F7B33" w:rsidP="006D5438">
      <w:pPr>
        <w:spacing w:after="0" w:line="240" w:lineRule="auto"/>
        <w:jc w:val="both"/>
        <w:rPr>
          <w:b/>
        </w:rPr>
      </w:pPr>
      <w:r w:rsidRPr="006D5438">
        <w:rPr>
          <w:b/>
        </w:rPr>
        <w:t xml:space="preserve">Communication and Engagement </w:t>
      </w:r>
    </w:p>
    <w:p w14:paraId="16D0B724" w14:textId="77777777" w:rsidR="008F7B33" w:rsidRPr="006D5438" w:rsidRDefault="008F7B33" w:rsidP="006D5438">
      <w:pPr>
        <w:numPr>
          <w:ilvl w:val="0"/>
          <w:numId w:val="19"/>
        </w:numPr>
        <w:spacing w:after="0" w:line="240" w:lineRule="auto"/>
        <w:jc w:val="both"/>
      </w:pPr>
      <w:r w:rsidRPr="006D5438">
        <w:t>Collaborate and mediate with internal and external stakeholders to build consensus on the appropriate response to emerging issues and the development of policy.</w:t>
      </w:r>
    </w:p>
    <w:p w14:paraId="600E9AE5" w14:textId="77777777" w:rsidR="008F7B33" w:rsidRPr="006D5438" w:rsidRDefault="008F7B33" w:rsidP="006D5438">
      <w:pPr>
        <w:numPr>
          <w:ilvl w:val="0"/>
          <w:numId w:val="19"/>
        </w:numPr>
        <w:spacing w:after="0" w:line="240" w:lineRule="auto"/>
        <w:jc w:val="both"/>
      </w:pPr>
      <w:r w:rsidRPr="006D5438">
        <w:t xml:space="preserve">Engage with staff and stakeholders involved in program delivery to generate and test possible options. </w:t>
      </w:r>
    </w:p>
    <w:p w14:paraId="2B593396" w14:textId="77777777" w:rsidR="008F7B33" w:rsidRPr="006D5438" w:rsidRDefault="008F7B33" w:rsidP="006D5438">
      <w:pPr>
        <w:numPr>
          <w:ilvl w:val="0"/>
          <w:numId w:val="19"/>
        </w:numPr>
        <w:spacing w:after="0" w:line="240" w:lineRule="auto"/>
        <w:jc w:val="both"/>
      </w:pPr>
      <w:r w:rsidRPr="006D5438">
        <w:t xml:space="preserve">Initiate and recommend a preferred option through clear, succinct briefings using high level analysis and well thought out evidence. </w:t>
      </w:r>
    </w:p>
    <w:p w14:paraId="54BCA52A" w14:textId="7E98840F" w:rsidR="008F7B33" w:rsidRPr="006D5438" w:rsidRDefault="008F7B33" w:rsidP="006D5438">
      <w:pPr>
        <w:numPr>
          <w:ilvl w:val="0"/>
          <w:numId w:val="19"/>
        </w:numPr>
        <w:spacing w:after="0" w:line="240" w:lineRule="auto"/>
        <w:jc w:val="both"/>
      </w:pPr>
      <w:r w:rsidRPr="006D5438">
        <w:t>Develop relationships with policy professionals.</w:t>
      </w:r>
    </w:p>
    <w:p w14:paraId="7C85A5BC" w14:textId="77777777" w:rsidR="008F7B33" w:rsidRPr="006D5438" w:rsidRDefault="008F7B33" w:rsidP="006D5438">
      <w:pPr>
        <w:spacing w:after="0" w:line="240" w:lineRule="auto"/>
        <w:jc w:val="both"/>
        <w:rPr>
          <w:b/>
        </w:rPr>
      </w:pPr>
      <w:r w:rsidRPr="006D5438">
        <w:rPr>
          <w:b/>
        </w:rPr>
        <w:t>Policy Implementation and Evaluation</w:t>
      </w:r>
    </w:p>
    <w:p w14:paraId="2E341C60" w14:textId="77777777" w:rsidR="008F7B33" w:rsidRPr="006D5438" w:rsidRDefault="008F7B33" w:rsidP="006D5438">
      <w:pPr>
        <w:pStyle w:val="ListParagraph"/>
        <w:numPr>
          <w:ilvl w:val="0"/>
          <w:numId w:val="20"/>
        </w:numPr>
        <w:spacing w:after="0"/>
        <w:contextualSpacing/>
        <w:jc w:val="both"/>
        <w:rPr>
          <w:rFonts w:cs="Arial"/>
          <w:szCs w:val="24"/>
        </w:rPr>
      </w:pPr>
      <w:r w:rsidRPr="006D5438">
        <w:rPr>
          <w:rFonts w:cs="Arial"/>
          <w:szCs w:val="24"/>
        </w:rPr>
        <w:t>Analyse ongoing environmental scanning to review policy effectiveness and performance. Identify options for policy improvement and changes.</w:t>
      </w:r>
    </w:p>
    <w:p w14:paraId="20316B1D" w14:textId="77777777" w:rsidR="008F7B33" w:rsidRPr="006D5438" w:rsidRDefault="008F7B33" w:rsidP="006D5438">
      <w:pPr>
        <w:pStyle w:val="ListParagraph"/>
        <w:numPr>
          <w:ilvl w:val="0"/>
          <w:numId w:val="20"/>
        </w:numPr>
        <w:spacing w:after="0"/>
        <w:contextualSpacing/>
        <w:jc w:val="both"/>
        <w:rPr>
          <w:rFonts w:cs="Arial"/>
          <w:b/>
          <w:szCs w:val="24"/>
        </w:rPr>
      </w:pPr>
      <w:r w:rsidRPr="006D5438">
        <w:rPr>
          <w:rFonts w:cs="Arial"/>
          <w:szCs w:val="24"/>
        </w:rPr>
        <w:t>Anticipate and resolve potential delivery issues, manage policy conflicts, recommend and make changes to existing programs when necessary.</w:t>
      </w:r>
    </w:p>
    <w:p w14:paraId="22E70204" w14:textId="77777777" w:rsidR="008F7B33" w:rsidRPr="006D5438" w:rsidRDefault="008F7B33" w:rsidP="006D5438">
      <w:pPr>
        <w:spacing w:after="0" w:line="240" w:lineRule="auto"/>
        <w:jc w:val="both"/>
        <w:rPr>
          <w:b/>
        </w:rPr>
      </w:pPr>
      <w:r w:rsidRPr="006D5438">
        <w:rPr>
          <w:b/>
        </w:rPr>
        <w:t xml:space="preserve">Other </w:t>
      </w:r>
    </w:p>
    <w:p w14:paraId="2F62923A" w14:textId="7C32CCE3" w:rsidR="008F7B33" w:rsidRPr="006D5438" w:rsidRDefault="008F7B33" w:rsidP="006D5438">
      <w:pPr>
        <w:pStyle w:val="ListParagraph"/>
        <w:numPr>
          <w:ilvl w:val="0"/>
          <w:numId w:val="20"/>
        </w:numPr>
        <w:spacing w:after="0"/>
        <w:contextualSpacing/>
        <w:jc w:val="both"/>
        <w:rPr>
          <w:rFonts w:cs="Arial"/>
          <w:b/>
          <w:szCs w:val="24"/>
        </w:rPr>
      </w:pPr>
      <w:r w:rsidRPr="006D5438">
        <w:rPr>
          <w:rFonts w:cs="Arial"/>
          <w:szCs w:val="24"/>
        </w:rPr>
        <w:t>Mentoring and supporting the development and work of other policy officers.</w:t>
      </w:r>
    </w:p>
    <w:p w14:paraId="0859A5C5" w14:textId="77777777" w:rsidR="006D5438" w:rsidRPr="006D5438" w:rsidRDefault="006D5438" w:rsidP="006D5438">
      <w:pPr>
        <w:pStyle w:val="ListParagraph"/>
        <w:spacing w:after="0"/>
        <w:ind w:left="720"/>
        <w:contextualSpacing/>
        <w:jc w:val="both"/>
        <w:rPr>
          <w:rFonts w:cs="Arial"/>
          <w:b/>
          <w:szCs w:val="24"/>
        </w:rPr>
      </w:pPr>
    </w:p>
    <w:p w14:paraId="32AF7670" w14:textId="3FD4712F" w:rsidR="00756536" w:rsidRPr="006D5438" w:rsidRDefault="00F167A5" w:rsidP="006D5438">
      <w:pPr>
        <w:pStyle w:val="Heading2"/>
        <w:spacing w:before="0"/>
        <w:jc w:val="both"/>
        <w:rPr>
          <w:sz w:val="24"/>
          <w:szCs w:val="24"/>
        </w:rPr>
      </w:pPr>
      <w:r w:rsidRPr="006D5438">
        <w:rPr>
          <w:sz w:val="24"/>
          <w:szCs w:val="24"/>
        </w:rPr>
        <w:t>Corporate</w:t>
      </w:r>
      <w:r w:rsidR="004A4EC3" w:rsidRPr="006D5438">
        <w:rPr>
          <w:sz w:val="24"/>
          <w:szCs w:val="24"/>
        </w:rPr>
        <w:t xml:space="preserve"> </w:t>
      </w:r>
      <w:r w:rsidR="00756536" w:rsidRPr="006D5438">
        <w:rPr>
          <w:sz w:val="24"/>
          <w:szCs w:val="24"/>
        </w:rPr>
        <w:t>Responsibilities</w:t>
      </w:r>
    </w:p>
    <w:p w14:paraId="2C021AC5" w14:textId="77777777" w:rsidR="00F167A5" w:rsidRPr="006D5438" w:rsidRDefault="00F167A5" w:rsidP="006D5438">
      <w:pPr>
        <w:pStyle w:val="ListParagraph"/>
        <w:numPr>
          <w:ilvl w:val="0"/>
          <w:numId w:val="18"/>
        </w:numPr>
        <w:ind w:left="360" w:hanging="360"/>
        <w:jc w:val="both"/>
        <w:rPr>
          <w:color w:val="auto"/>
          <w:szCs w:val="24"/>
        </w:rPr>
      </w:pPr>
      <w:r w:rsidRPr="006D5438">
        <w:rPr>
          <w:color w:val="auto"/>
          <w:szCs w:val="24"/>
        </w:rPr>
        <w:t>Exhibits accountability, professional integrity and respect consistent with DPC Values, the Code of Conduct, and the public sector Code of Ethics.</w:t>
      </w:r>
    </w:p>
    <w:p w14:paraId="67C9CBAC" w14:textId="77777777" w:rsidR="00F167A5" w:rsidRPr="006D5438" w:rsidRDefault="00F167A5" w:rsidP="006D5438">
      <w:pPr>
        <w:pStyle w:val="ListParagraph"/>
        <w:numPr>
          <w:ilvl w:val="0"/>
          <w:numId w:val="18"/>
        </w:numPr>
        <w:ind w:left="360" w:hanging="360"/>
        <w:jc w:val="both"/>
        <w:rPr>
          <w:color w:val="auto"/>
          <w:szCs w:val="24"/>
        </w:rPr>
      </w:pPr>
      <w:r w:rsidRPr="006D5438">
        <w:rPr>
          <w:color w:val="auto"/>
          <w:szCs w:val="24"/>
        </w:rPr>
        <w:t xml:space="preserve">Takes reasonable care to protect your own safety and health at work, and that of others by co-operating with the safety and health policies and procedures of the Department and complying with all provisions of the </w:t>
      </w:r>
      <w:r w:rsidRPr="006D5438">
        <w:rPr>
          <w:i/>
          <w:iCs/>
          <w:color w:val="auto"/>
          <w:szCs w:val="24"/>
        </w:rPr>
        <w:t>Work Health and Safety Act 2020</w:t>
      </w:r>
    </w:p>
    <w:p w14:paraId="43976E59" w14:textId="77777777" w:rsidR="00F167A5" w:rsidRDefault="00F167A5" w:rsidP="006D5438">
      <w:pPr>
        <w:pStyle w:val="ListParagraph"/>
        <w:numPr>
          <w:ilvl w:val="0"/>
          <w:numId w:val="18"/>
        </w:numPr>
        <w:ind w:left="360" w:hanging="360"/>
        <w:jc w:val="both"/>
        <w:rPr>
          <w:color w:val="auto"/>
          <w:szCs w:val="24"/>
        </w:rPr>
      </w:pPr>
      <w:r w:rsidRPr="006D5438">
        <w:rPr>
          <w:color w:val="auto"/>
          <w:szCs w:val="24"/>
        </w:rPr>
        <w:t>Undertakes other duties as required.</w:t>
      </w:r>
    </w:p>
    <w:p w14:paraId="6D2AC8AC" w14:textId="77777777" w:rsidR="00540BCA" w:rsidRDefault="00540BCA" w:rsidP="00540BCA">
      <w:pPr>
        <w:jc w:val="both"/>
      </w:pPr>
    </w:p>
    <w:p w14:paraId="5CC035D2" w14:textId="77777777" w:rsidR="00540BCA" w:rsidRDefault="00540BCA">
      <w:pPr>
        <w:spacing w:after="0" w:line="240" w:lineRule="auto"/>
        <w:rPr>
          <w:rFonts w:eastAsiaTheme="majorEastAsia" w:cs="Times New Roman (Headings CS)"/>
          <w:b/>
          <w:color w:val="CC5733"/>
        </w:rPr>
      </w:pPr>
      <w:r>
        <w:rPr>
          <w:rFonts w:eastAsiaTheme="majorEastAsia" w:cs="Times New Roman (Headings CS)"/>
          <w:b/>
          <w:color w:val="CC5733"/>
        </w:rPr>
        <w:br w:type="page"/>
      </w:r>
    </w:p>
    <w:p w14:paraId="5A9FAA1F" w14:textId="5D4FE2E4" w:rsidR="00540BCA" w:rsidRPr="004009D6" w:rsidRDefault="00540BCA" w:rsidP="00540BCA">
      <w:pPr>
        <w:rPr>
          <w:rFonts w:eastAsiaTheme="majorEastAsia" w:cs="Times New Roman (Headings CS)"/>
          <w:b/>
          <w:color w:val="CC5733"/>
        </w:rPr>
      </w:pPr>
      <w:r w:rsidRPr="004009D6">
        <w:rPr>
          <w:rFonts w:eastAsiaTheme="majorEastAsia" w:cs="Times New Roman (Headings CS)"/>
          <w:b/>
          <w:color w:val="CC5733"/>
        </w:rPr>
        <w:lastRenderedPageBreak/>
        <w:t>Building Leadership Impact  </w:t>
      </w:r>
    </w:p>
    <w:p w14:paraId="3A4E5A47" w14:textId="77777777" w:rsidR="00540BCA" w:rsidRDefault="00540BCA" w:rsidP="00540BCA">
      <w:r w:rsidRPr="00636719">
        <w:t xml:space="preserve">We consider all our people as leaders. We believe leadership to be critical to the success of the Department and the public sector and, to support this, we have adopted </w:t>
      </w:r>
      <w:hyperlink r:id="rId11" w:tgtFrame="_blank" w:history="1">
        <w:r w:rsidRPr="00BE780C">
          <w:rPr>
            <w:rStyle w:val="Hyperlink"/>
          </w:rPr>
          <w:t>Leadership Expectations</w:t>
        </w:r>
      </w:hyperlink>
      <w:r w:rsidRPr="00BE780C">
        <w:rPr>
          <w:rStyle w:val="Hyperlink"/>
        </w:rPr>
        <w:t>.  </w:t>
      </w:r>
      <w:r w:rsidRPr="00636719">
        <w:t> </w:t>
      </w:r>
    </w:p>
    <w:p w14:paraId="7F3A7838" w14:textId="0CD57FD6" w:rsidR="002C7BBA" w:rsidRDefault="00540BCA" w:rsidP="00540BCA">
      <w:pPr>
        <w:rPr>
          <w:rFonts w:eastAsiaTheme="majorEastAsia" w:cs="Times New Roman (Headings CS)"/>
          <w:b/>
          <w:color w:val="CC5733"/>
        </w:rPr>
      </w:pPr>
      <w:r w:rsidRPr="00BE780C">
        <w:rPr>
          <w:rFonts w:cs="Calibri"/>
          <w14:ligatures w14:val="standardContextual"/>
        </w:rPr>
        <w:t xml:space="preserve">This role operates in the </w:t>
      </w:r>
      <w:hyperlink r:id="rId12" w:tgtFrame="_blank" w:history="1">
        <w:r w:rsidRPr="00BE780C">
          <w:rPr>
            <w:rStyle w:val="Hyperlink"/>
          </w:rPr>
          <w:t>Leading Others</w:t>
        </w:r>
      </w:hyperlink>
      <w:r w:rsidRPr="00436BEF">
        <w:rPr>
          <w:rFonts w:cs="Calibri"/>
          <w14:ligatures w14:val="standardContextual"/>
        </w:rPr>
        <w:t xml:space="preserve"> context, where leadership is about motivating and enabling others to deliver high quality work that contributes to the agency. </w:t>
      </w:r>
    </w:p>
    <w:p w14:paraId="53311947" w14:textId="48444C93" w:rsidR="00B646FB" w:rsidRDefault="007421AD" w:rsidP="006D5438">
      <w:pPr>
        <w:pStyle w:val="Heading2"/>
        <w:jc w:val="both"/>
        <w:rPr>
          <w:sz w:val="24"/>
          <w:szCs w:val="24"/>
        </w:rPr>
      </w:pPr>
      <w:r w:rsidRPr="006D5438">
        <w:rPr>
          <w:sz w:val="24"/>
          <w:szCs w:val="24"/>
        </w:rPr>
        <w:t>Work Related Capabilities (Selection Criteria)</w:t>
      </w:r>
    </w:p>
    <w:p w14:paraId="3CBAEE3C" w14:textId="77777777" w:rsidR="002C7BBA" w:rsidRPr="00540BCA" w:rsidRDefault="002C7BBA" w:rsidP="002C7BBA">
      <w:pPr>
        <w:spacing w:after="0" w:line="240" w:lineRule="auto"/>
        <w:jc w:val="both"/>
        <w:rPr>
          <w:u w:val="single"/>
        </w:rPr>
      </w:pPr>
      <w:r w:rsidRPr="00540BCA">
        <w:rPr>
          <w:u w:val="single"/>
        </w:rPr>
        <w:t xml:space="preserve">Essential: </w:t>
      </w:r>
    </w:p>
    <w:p w14:paraId="6A525833" w14:textId="77777777" w:rsidR="002C7BBA" w:rsidRPr="00540BCA" w:rsidRDefault="002C7BBA" w:rsidP="002C7BBA">
      <w:pPr>
        <w:pStyle w:val="ListParagraph"/>
        <w:numPr>
          <w:ilvl w:val="0"/>
          <w:numId w:val="26"/>
        </w:numPr>
        <w:spacing w:after="0"/>
        <w:contextualSpacing/>
        <w:jc w:val="both"/>
        <w:rPr>
          <w:szCs w:val="24"/>
        </w:rPr>
      </w:pPr>
      <w:r w:rsidRPr="00540BCA">
        <w:rPr>
          <w:b/>
          <w:szCs w:val="24"/>
        </w:rPr>
        <w:t>SHAPES AND MANAGES STRATEGY.</w:t>
      </w:r>
      <w:r w:rsidRPr="00540BCA">
        <w:rPr>
          <w:szCs w:val="24"/>
        </w:rPr>
        <w:t xml:space="preserve"> Is strategically focused and understands the Department’s objectives and aligns operational activities accordingly. Gathers and investigates information from a variety of sources and explores new ideas and different viewpoints. Provides direction to others regarding the purpose and importance of their work.</w:t>
      </w:r>
    </w:p>
    <w:p w14:paraId="740E85A6" w14:textId="77777777" w:rsidR="002C7BBA" w:rsidRPr="00540BCA" w:rsidRDefault="002C7BBA" w:rsidP="002C7BBA">
      <w:pPr>
        <w:pStyle w:val="ListParagraph"/>
        <w:numPr>
          <w:ilvl w:val="0"/>
          <w:numId w:val="26"/>
        </w:numPr>
        <w:spacing w:after="0"/>
        <w:contextualSpacing/>
        <w:jc w:val="both"/>
        <w:rPr>
          <w:szCs w:val="24"/>
        </w:rPr>
      </w:pPr>
      <w:r w:rsidRPr="00540BCA">
        <w:rPr>
          <w:b/>
          <w:szCs w:val="24"/>
        </w:rPr>
        <w:t>ACHIEVES RESULTS.</w:t>
      </w:r>
      <w:r w:rsidRPr="00540BCA">
        <w:rPr>
          <w:szCs w:val="24"/>
        </w:rPr>
        <w:t xml:space="preserve"> Remain flexible and responsive to changes in requirements. Sees projects through to completion, monitoring project progress and adjusting plans as required. Values specialist expertise and capitalises on the expert knowledge and skills of others. Contributes own expertise to achieve outcomes for the business unit.</w:t>
      </w:r>
    </w:p>
    <w:p w14:paraId="6C2A2B6F" w14:textId="77777777" w:rsidR="002C7BBA" w:rsidRPr="00540BCA" w:rsidRDefault="002C7BBA" w:rsidP="002C7BBA">
      <w:pPr>
        <w:pStyle w:val="ListParagraph"/>
        <w:numPr>
          <w:ilvl w:val="0"/>
          <w:numId w:val="26"/>
        </w:numPr>
        <w:spacing w:after="0"/>
        <w:contextualSpacing/>
        <w:jc w:val="both"/>
        <w:rPr>
          <w:szCs w:val="24"/>
        </w:rPr>
      </w:pPr>
      <w:r w:rsidRPr="00540BCA">
        <w:rPr>
          <w:b/>
          <w:szCs w:val="24"/>
        </w:rPr>
        <w:t>BUILDS PRODUCTIVE RELATIONSHIPS.</w:t>
      </w:r>
      <w:r w:rsidRPr="00540BCA">
        <w:rPr>
          <w:szCs w:val="24"/>
        </w:rPr>
        <w:t xml:space="preserve"> Effectively builds and sustains relationships with a network of key people at senior levels both internally and externally. Anticipates and is responsive to internal and external client needs. Consults and shares information and ensures others are kept informed of issues. Works collaboratively and operates as an effective team member.</w:t>
      </w:r>
    </w:p>
    <w:p w14:paraId="28D14487" w14:textId="77777777" w:rsidR="002C7BBA" w:rsidRPr="00540BCA" w:rsidRDefault="002C7BBA" w:rsidP="002C7BBA">
      <w:pPr>
        <w:pStyle w:val="ListParagraph"/>
        <w:numPr>
          <w:ilvl w:val="0"/>
          <w:numId w:val="26"/>
        </w:numPr>
        <w:spacing w:after="0"/>
        <w:contextualSpacing/>
        <w:jc w:val="both"/>
        <w:rPr>
          <w:szCs w:val="24"/>
        </w:rPr>
      </w:pPr>
      <w:r w:rsidRPr="00540BCA">
        <w:rPr>
          <w:b/>
          <w:szCs w:val="24"/>
        </w:rPr>
        <w:t>EXEMPLIFIES PERSONAL INTEGRITY AND SELF-AWARENESS.</w:t>
      </w:r>
      <w:r w:rsidRPr="00540BCA">
        <w:rPr>
          <w:szCs w:val="24"/>
        </w:rPr>
        <w:t xml:space="preserve"> Provides impartial and forthright advice, challenges important issues constructively and </w:t>
      </w:r>
      <w:proofErr w:type="gramStart"/>
      <w:r w:rsidRPr="00540BCA">
        <w:rPr>
          <w:szCs w:val="24"/>
        </w:rPr>
        <w:t>is capable of defending</w:t>
      </w:r>
      <w:proofErr w:type="gramEnd"/>
      <w:r w:rsidRPr="00540BCA">
        <w:rPr>
          <w:szCs w:val="24"/>
        </w:rPr>
        <w:t xml:space="preserve"> own position when challenged.  Acknowledges mistakes and learns from them and seeks guidance and advice when required. Adopts a principled approach and adheres to public sector values and Code of Conduct. Operates as an effective representative of the Department in public and internal forums.</w:t>
      </w:r>
    </w:p>
    <w:p w14:paraId="7F3EA49D" w14:textId="77777777" w:rsidR="002C7BBA" w:rsidRPr="00540BCA" w:rsidRDefault="002C7BBA" w:rsidP="002C7BBA">
      <w:pPr>
        <w:pStyle w:val="ListParagraph"/>
        <w:numPr>
          <w:ilvl w:val="0"/>
          <w:numId w:val="26"/>
        </w:numPr>
        <w:spacing w:after="0"/>
        <w:contextualSpacing/>
        <w:jc w:val="both"/>
        <w:rPr>
          <w:szCs w:val="24"/>
        </w:rPr>
      </w:pPr>
      <w:r w:rsidRPr="00540BCA">
        <w:rPr>
          <w:b/>
          <w:szCs w:val="24"/>
        </w:rPr>
        <w:t>COMMUNICATES AND INFLUENCES EFFECTIVELY.</w:t>
      </w:r>
      <w:r w:rsidRPr="00540BCA">
        <w:rPr>
          <w:szCs w:val="24"/>
        </w:rPr>
        <w:t xml:space="preserve"> Confidently presents messages in a clear, concise, and articulate manner. Selects the most appropriate medium for conveying information and structures written and verbal communication to ensure clarity.</w:t>
      </w:r>
    </w:p>
    <w:p w14:paraId="65ECED63" w14:textId="77777777" w:rsidR="002C7BBA" w:rsidRPr="00540BCA" w:rsidRDefault="002C7BBA" w:rsidP="002C7BBA">
      <w:pPr>
        <w:spacing w:after="0" w:line="240" w:lineRule="auto"/>
        <w:jc w:val="both"/>
        <w:rPr>
          <w:u w:val="single"/>
        </w:rPr>
      </w:pPr>
      <w:r w:rsidRPr="00540BCA">
        <w:rPr>
          <w:u w:val="single"/>
        </w:rPr>
        <w:t>Desirable:</w:t>
      </w:r>
    </w:p>
    <w:p w14:paraId="4D5BD59E" w14:textId="77777777" w:rsidR="002C7BBA" w:rsidRPr="00540BCA" w:rsidRDefault="002C7BBA" w:rsidP="002C7BBA">
      <w:pPr>
        <w:pStyle w:val="ListParagraph"/>
        <w:numPr>
          <w:ilvl w:val="0"/>
          <w:numId w:val="28"/>
        </w:numPr>
        <w:spacing w:after="0"/>
        <w:contextualSpacing/>
        <w:jc w:val="both"/>
        <w:rPr>
          <w:szCs w:val="24"/>
        </w:rPr>
      </w:pPr>
      <w:r w:rsidRPr="00540BCA">
        <w:rPr>
          <w:szCs w:val="24"/>
        </w:rPr>
        <w:t>Wide ranging knowledge of current State Government policies, priorities, and practices in Western Australia.</w:t>
      </w:r>
    </w:p>
    <w:p w14:paraId="340BF1F4" w14:textId="0408778B" w:rsidR="002C7BBA" w:rsidRPr="00540BCA" w:rsidRDefault="002C7BBA" w:rsidP="002C7BBA">
      <w:pPr>
        <w:pStyle w:val="ListParagraph"/>
        <w:numPr>
          <w:ilvl w:val="0"/>
          <w:numId w:val="28"/>
        </w:numPr>
        <w:spacing w:after="0"/>
        <w:contextualSpacing/>
        <w:jc w:val="both"/>
        <w:rPr>
          <w:szCs w:val="24"/>
        </w:rPr>
      </w:pPr>
      <w:r w:rsidRPr="00540BCA">
        <w:rPr>
          <w:szCs w:val="24"/>
        </w:rPr>
        <w:t>Relevant tertiary qualifications.</w:t>
      </w:r>
    </w:p>
    <w:p w14:paraId="2BEBB12E" w14:textId="77777777" w:rsidR="006D5438" w:rsidRPr="00540BCA" w:rsidRDefault="006D5438" w:rsidP="00540BCA">
      <w:pPr>
        <w:spacing w:after="0"/>
        <w:contextualSpacing/>
        <w:jc w:val="both"/>
      </w:pPr>
    </w:p>
    <w:p w14:paraId="268B2915" w14:textId="7239264B" w:rsidR="00631D31" w:rsidRPr="006D5438" w:rsidRDefault="009514B1" w:rsidP="006D5438">
      <w:pPr>
        <w:jc w:val="both"/>
      </w:pPr>
      <w:r w:rsidRPr="006D5438">
        <w:t>For permanent appointments y</w:t>
      </w:r>
      <w:r w:rsidR="00394896" w:rsidRPr="006D5438">
        <w:t xml:space="preserve">ou must also be eligible to live and work in Australia indefinitely. </w:t>
      </w:r>
      <w:r w:rsidR="00631D31" w:rsidRPr="006D5438">
        <w:t xml:space="preserve">Employees engaged on fixed term appointments </w:t>
      </w:r>
      <w:r w:rsidR="00AE1B75" w:rsidRPr="006D5438">
        <w:t xml:space="preserve">need </w:t>
      </w:r>
      <w:r w:rsidR="00631D31" w:rsidRPr="006D5438">
        <w:t>a valid work visa for the duration of the</w:t>
      </w:r>
      <w:r w:rsidR="00AE1B75" w:rsidRPr="006D5438">
        <w:t>ir</w:t>
      </w:r>
      <w:r w:rsidR="00631D31" w:rsidRPr="006D5438">
        <w:t xml:space="preserve"> contract.</w:t>
      </w:r>
    </w:p>
    <w:p w14:paraId="276BE7AD" w14:textId="1787F454" w:rsidR="005A2701" w:rsidRPr="006D5438" w:rsidRDefault="00631D31" w:rsidP="006D5438">
      <w:pPr>
        <w:jc w:val="both"/>
      </w:pPr>
      <w:r w:rsidRPr="006D5438">
        <w:t xml:space="preserve">Appointment is </w:t>
      </w:r>
      <w:r w:rsidR="00394896" w:rsidRPr="006D5438">
        <w:t xml:space="preserve">also </w:t>
      </w:r>
      <w:r w:rsidR="00AE1B75" w:rsidRPr="006D5438">
        <w:t xml:space="preserve">dependent on </w:t>
      </w:r>
      <w:r w:rsidR="00394896" w:rsidRPr="006D5438">
        <w:t xml:space="preserve">a </w:t>
      </w:r>
      <w:r w:rsidRPr="006D5438">
        <w:t>100-point identification check and</w:t>
      </w:r>
      <w:r w:rsidR="00394896" w:rsidRPr="006D5438">
        <w:t xml:space="preserve"> </w:t>
      </w:r>
      <w:r w:rsidRPr="006D5438">
        <w:t>Criminal Records Screening Clearance</w:t>
      </w:r>
      <w:r w:rsidR="00394896" w:rsidRPr="006D5438">
        <w:t>.</w:t>
      </w:r>
    </w:p>
    <w:p w14:paraId="6D4F21E1" w14:textId="483B5655" w:rsidR="005A2701" w:rsidRPr="00070651" w:rsidRDefault="005A2701" w:rsidP="006D5438">
      <w:pPr>
        <w:pStyle w:val="Heading1"/>
        <w:rPr>
          <w:sz w:val="24"/>
          <w:szCs w:val="24"/>
        </w:rPr>
      </w:pPr>
      <w:r w:rsidRPr="00070651">
        <w:rPr>
          <w:sz w:val="24"/>
          <w:szCs w:val="24"/>
        </w:rPr>
        <w:lastRenderedPageBreak/>
        <w:t>Certification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701"/>
        <w:gridCol w:w="3119"/>
        <w:gridCol w:w="1277"/>
      </w:tblGrid>
      <w:tr w:rsidR="005A2701" w:rsidRPr="005A2701" w14:paraId="1B760A90" w14:textId="77777777" w:rsidTr="006C1C4D">
        <w:trPr>
          <w:trHeight w:val="659"/>
        </w:trPr>
        <w:tc>
          <w:tcPr>
            <w:tcW w:w="3402" w:type="dxa"/>
          </w:tcPr>
          <w:p w14:paraId="6D4DECA5" w14:textId="001123AC" w:rsidR="005A2701" w:rsidRPr="00070651" w:rsidRDefault="006C1C4D" w:rsidP="006D5438">
            <w:pPr>
              <w:pStyle w:val="Heading3"/>
              <w:ind w:left="-113"/>
              <w:rPr>
                <w:sz w:val="24"/>
              </w:rPr>
            </w:pPr>
            <w:r w:rsidRPr="00070651">
              <w:rPr>
                <w:sz w:val="24"/>
              </w:rPr>
              <w:t>Authorising</w:t>
            </w:r>
            <w:r w:rsidR="005A2701" w:rsidRPr="00070651">
              <w:rPr>
                <w:sz w:val="24"/>
              </w:rPr>
              <w:t xml:space="preserve"> Signature:</w:t>
            </w:r>
          </w:p>
          <w:p w14:paraId="3884FF37" w14:textId="77777777" w:rsidR="004B2309" w:rsidRDefault="004B2309" w:rsidP="006D5438"/>
          <w:p w14:paraId="019B14E0" w14:textId="55D2C1C9" w:rsidR="002F64E9" w:rsidRPr="00C201F1" w:rsidRDefault="002F64E9" w:rsidP="006D5438"/>
        </w:tc>
        <w:tc>
          <w:tcPr>
            <w:tcW w:w="1701" w:type="dxa"/>
          </w:tcPr>
          <w:p w14:paraId="68C4626E" w14:textId="77777777" w:rsidR="005A2701" w:rsidRDefault="005A2701" w:rsidP="006D5438">
            <w:pPr>
              <w:rPr>
                <w:rFonts w:ascii="Neue Haas Grotesk Text Pro" w:hAnsi="Neue Haas Grotesk Text Pro"/>
                <w:b/>
              </w:rPr>
            </w:pPr>
          </w:p>
          <w:p w14:paraId="357C8B40" w14:textId="77777777" w:rsidR="002F64E9" w:rsidRPr="005A2701" w:rsidRDefault="002F64E9" w:rsidP="006D5438">
            <w:pPr>
              <w:rPr>
                <w:rFonts w:ascii="Neue Haas Grotesk Text Pro" w:hAnsi="Neue Haas Grotesk Text Pro"/>
                <w:b/>
              </w:rPr>
            </w:pPr>
          </w:p>
        </w:tc>
        <w:tc>
          <w:tcPr>
            <w:tcW w:w="3119" w:type="dxa"/>
          </w:tcPr>
          <w:p w14:paraId="05F6E0BC" w14:textId="01287DA1" w:rsidR="005A2701" w:rsidRPr="00C47631" w:rsidRDefault="002F64E9" w:rsidP="006D5438">
            <w:pPr>
              <w:pStyle w:val="Heading3"/>
            </w:pPr>
            <w:r w:rsidRPr="002F64E9">
              <w:rPr>
                <w:sz w:val="24"/>
                <w:szCs w:val="22"/>
              </w:rPr>
              <w:t>People Services:</w:t>
            </w:r>
          </w:p>
        </w:tc>
        <w:tc>
          <w:tcPr>
            <w:tcW w:w="1277" w:type="dxa"/>
          </w:tcPr>
          <w:p w14:paraId="6B183A00" w14:textId="77777777" w:rsidR="005A2701" w:rsidRPr="005A2701" w:rsidRDefault="005A2701" w:rsidP="006D5438">
            <w:pPr>
              <w:rPr>
                <w:rFonts w:ascii="Neue Haas Grotesk Text Pro" w:hAnsi="Neue Haas Grotesk Text Pro"/>
                <w:b/>
              </w:rPr>
            </w:pPr>
          </w:p>
        </w:tc>
      </w:tr>
      <w:tr w:rsidR="005A2701" w:rsidRPr="005A2701" w14:paraId="6C4AC279" w14:textId="77777777" w:rsidTr="006C1C4D">
        <w:trPr>
          <w:trHeight w:val="542"/>
        </w:trPr>
        <w:tc>
          <w:tcPr>
            <w:tcW w:w="3402" w:type="dxa"/>
          </w:tcPr>
          <w:p w14:paraId="39B9EABA" w14:textId="78240578" w:rsidR="005A2701" w:rsidRPr="00070651" w:rsidRDefault="00AC73F2" w:rsidP="006D5438">
            <w:pPr>
              <w:pStyle w:val="Heading3"/>
              <w:ind w:hanging="113"/>
              <w:rPr>
                <w:sz w:val="24"/>
              </w:rPr>
            </w:pPr>
            <w:r w:rsidRPr="00070651">
              <w:rPr>
                <w:sz w:val="24"/>
              </w:rPr>
              <w:t>D</w:t>
            </w:r>
            <w:r w:rsidR="005A2701" w:rsidRPr="00070651">
              <w:rPr>
                <w:sz w:val="24"/>
              </w:rPr>
              <w:t>ate:</w:t>
            </w:r>
          </w:p>
        </w:tc>
        <w:tc>
          <w:tcPr>
            <w:tcW w:w="1701" w:type="dxa"/>
          </w:tcPr>
          <w:p w14:paraId="3344B80E" w14:textId="77777777" w:rsidR="005A2701" w:rsidRDefault="005A2701" w:rsidP="006D5438">
            <w:pPr>
              <w:rPr>
                <w:rFonts w:ascii="Neue Haas Grotesk Text Pro" w:hAnsi="Neue Haas Grotesk Text Pro"/>
                <w:b/>
              </w:rPr>
            </w:pPr>
          </w:p>
          <w:p w14:paraId="2C6EABD3" w14:textId="77777777" w:rsidR="004B2309" w:rsidRPr="005A2701" w:rsidRDefault="004B2309" w:rsidP="006D5438">
            <w:pPr>
              <w:rPr>
                <w:rFonts w:ascii="Neue Haas Grotesk Text Pro" w:hAnsi="Neue Haas Grotesk Text Pro"/>
                <w:b/>
              </w:rPr>
            </w:pPr>
          </w:p>
        </w:tc>
        <w:tc>
          <w:tcPr>
            <w:tcW w:w="3119" w:type="dxa"/>
          </w:tcPr>
          <w:p w14:paraId="2CC297B8" w14:textId="44A3D1A1" w:rsidR="005A2701" w:rsidRPr="005A2701" w:rsidRDefault="002F64E9" w:rsidP="006D5438">
            <w:pPr>
              <w:pStyle w:val="Heading3"/>
            </w:pPr>
            <w:r w:rsidRPr="002F64E9">
              <w:rPr>
                <w:sz w:val="24"/>
                <w:szCs w:val="22"/>
              </w:rPr>
              <w:t>Date:</w:t>
            </w:r>
          </w:p>
        </w:tc>
        <w:tc>
          <w:tcPr>
            <w:tcW w:w="1277" w:type="dxa"/>
          </w:tcPr>
          <w:p w14:paraId="40432E0F" w14:textId="77777777" w:rsidR="005A2701" w:rsidRPr="005A2701" w:rsidRDefault="005A2701" w:rsidP="006D5438">
            <w:pPr>
              <w:rPr>
                <w:rFonts w:ascii="Neue Haas Grotesk Text Pro" w:hAnsi="Neue Haas Grotesk Text Pro"/>
                <w:b/>
              </w:rPr>
            </w:pPr>
          </w:p>
        </w:tc>
      </w:tr>
    </w:tbl>
    <w:p w14:paraId="48A53E74" w14:textId="77777777" w:rsidR="00756536" w:rsidRPr="00D007E3" w:rsidRDefault="00756536" w:rsidP="006D5438">
      <w:pPr>
        <w:rPr>
          <w:rFonts w:ascii="Neue Haas Grotesk Text Pro" w:hAnsi="Neue Haas Grotesk Text Pro"/>
        </w:rPr>
      </w:pPr>
    </w:p>
    <w:sectPr w:rsidR="00756536" w:rsidRPr="00D007E3" w:rsidSect="00280C06">
      <w:headerReference w:type="default" r:id="rId13"/>
      <w:footerReference w:type="even" r:id="rId14"/>
      <w:footerReference w:type="default" r:id="rId15"/>
      <w:headerReference w:type="first" r:id="rId16"/>
      <w:footerReference w:type="first" r:id="rId17"/>
      <w:pgSz w:w="11906" w:h="16838"/>
      <w:pgMar w:top="1633" w:right="1331" w:bottom="1059"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1A59C" w14:textId="77777777" w:rsidR="00DB08AF" w:rsidRDefault="00DB08AF" w:rsidP="00756536">
      <w:pPr>
        <w:spacing w:after="0" w:line="240" w:lineRule="auto"/>
      </w:pPr>
      <w:r>
        <w:separator/>
      </w:r>
    </w:p>
  </w:endnote>
  <w:endnote w:type="continuationSeparator" w:id="0">
    <w:p w14:paraId="3170135B" w14:textId="77777777" w:rsidR="00DB08AF" w:rsidRDefault="00DB08AF" w:rsidP="007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Neue Haas Grotesk Text Pro">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1015372"/>
      <w:docPartObj>
        <w:docPartGallery w:val="Page Numbers (Bottom of Page)"/>
        <w:docPartUnique/>
      </w:docPartObj>
    </w:sdtPr>
    <w:sdtEndPr>
      <w:rPr>
        <w:rStyle w:val="PageNumber"/>
      </w:rPr>
    </w:sdtEndPr>
    <w:sdtContent>
      <w:p w14:paraId="6CD96385" w14:textId="2A9E5796" w:rsidR="0033476B" w:rsidRDefault="0033476B" w:rsidP="00207A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EFF34" w14:textId="77777777" w:rsidR="0033476B" w:rsidRDefault="0033476B" w:rsidP="00334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6892396"/>
      <w:docPartObj>
        <w:docPartGallery w:val="Page Numbers (Bottom of Page)"/>
        <w:docPartUnique/>
      </w:docPartObj>
    </w:sdtPr>
    <w:sdtEndPr>
      <w:rPr>
        <w:rStyle w:val="PageNumber"/>
        <w:color w:val="C24227"/>
        <w:sz w:val="20"/>
        <w:szCs w:val="20"/>
      </w:rPr>
    </w:sdtEndPr>
    <w:sdtContent>
      <w:p w14:paraId="617EB55A" w14:textId="0EE884AC"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2</w:t>
        </w:r>
        <w:r w:rsidRPr="0033476B">
          <w:rPr>
            <w:rStyle w:val="PageNumber"/>
            <w:color w:val="C24227"/>
            <w:sz w:val="20"/>
            <w:szCs w:val="20"/>
          </w:rPr>
          <w:fldChar w:fldCharType="end"/>
        </w:r>
      </w:p>
    </w:sdtContent>
  </w:sdt>
  <w:p w14:paraId="339A2963" w14:textId="0E81B6B4" w:rsidR="0033476B" w:rsidRPr="0033476B" w:rsidRDefault="0033476B" w:rsidP="0033476B">
    <w:pPr>
      <w:pStyle w:val="Footer"/>
      <w:ind w:right="360"/>
      <w:jc w:val="right"/>
      <w:rPr>
        <w:color w:val="C24227"/>
        <w:sz w:val="21"/>
        <w:szCs w:val="21"/>
      </w:rPr>
    </w:pPr>
    <w:r w:rsidRPr="0033476B">
      <w:rPr>
        <w:color w:val="C24227"/>
        <w:sz w:val="20"/>
        <w:szCs w:val="20"/>
      </w:rPr>
      <w:t xml:space="preserve">Job Description </w:t>
    </w:r>
    <w:r w:rsidR="001B54FD" w:rsidRPr="0033476B">
      <w:rPr>
        <w:color w:val="C24227"/>
        <w:sz w:val="20"/>
        <w:szCs w:val="20"/>
      </w:rPr>
      <w:t>Form</w:t>
    </w:r>
    <w:r w:rsidR="001B54FD">
      <w:rPr>
        <w:color w:val="C24227"/>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C24227"/>
        <w:sz w:val="22"/>
        <w:szCs w:val="22"/>
      </w:rPr>
      <w:id w:val="2073308761"/>
      <w:docPartObj>
        <w:docPartGallery w:val="Page Numbers (Bottom of Page)"/>
        <w:docPartUnique/>
      </w:docPartObj>
    </w:sdtPr>
    <w:sdtEndPr>
      <w:rPr>
        <w:rStyle w:val="PageNumber"/>
        <w:sz w:val="20"/>
        <w:szCs w:val="20"/>
      </w:rPr>
    </w:sdtEndPr>
    <w:sdtContent>
      <w:p w14:paraId="7E362E97" w14:textId="0DFDA1A7"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1</w:t>
        </w:r>
        <w:r w:rsidRPr="0033476B">
          <w:rPr>
            <w:rStyle w:val="PageNumber"/>
            <w:color w:val="C24227"/>
            <w:sz w:val="20"/>
            <w:szCs w:val="20"/>
          </w:rPr>
          <w:fldChar w:fldCharType="end"/>
        </w:r>
      </w:p>
    </w:sdtContent>
  </w:sdt>
  <w:p w14:paraId="03B66A20" w14:textId="04D8CEBD" w:rsidR="0033476B" w:rsidRPr="0033476B" w:rsidRDefault="0033476B" w:rsidP="0033476B">
    <w:pPr>
      <w:pStyle w:val="Footer"/>
      <w:ind w:right="284"/>
      <w:jc w:val="right"/>
      <w:rPr>
        <w:color w:val="C24227"/>
        <w:sz w:val="21"/>
        <w:szCs w:val="21"/>
      </w:rPr>
    </w:pPr>
    <w:r w:rsidRPr="0033476B">
      <w:rPr>
        <w:color w:val="C24227"/>
        <w:sz w:val="20"/>
        <w:szCs w:val="20"/>
      </w:rPr>
      <w:t xml:space="preserve">Job Description </w:t>
    </w:r>
    <w:r w:rsidR="001B54FD" w:rsidRPr="0033476B">
      <w:rPr>
        <w:color w:val="C24227"/>
        <w:sz w:val="20"/>
        <w:szCs w:val="20"/>
      </w:rPr>
      <w:t>Form</w:t>
    </w:r>
    <w:r w:rsidR="001B54FD">
      <w:rPr>
        <w:color w:val="C24227"/>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F1AD5" w14:textId="77777777" w:rsidR="00DB08AF" w:rsidRDefault="00DB08AF" w:rsidP="00756536">
      <w:pPr>
        <w:spacing w:after="0" w:line="240" w:lineRule="auto"/>
      </w:pPr>
      <w:r>
        <w:separator/>
      </w:r>
    </w:p>
  </w:footnote>
  <w:footnote w:type="continuationSeparator" w:id="0">
    <w:p w14:paraId="2A2DB8D5" w14:textId="77777777" w:rsidR="00DB08AF" w:rsidRDefault="00DB08AF" w:rsidP="00756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DCB9" w14:textId="6D563911" w:rsidR="00756536" w:rsidRDefault="00756536">
    <w:pPr>
      <w:pStyle w:val="Header"/>
    </w:pPr>
    <w:r>
      <w:rPr>
        <w:noProof/>
      </w:rPr>
      <w:drawing>
        <wp:anchor distT="0" distB="0" distL="114300" distR="114300" simplePos="0" relativeHeight="251658240" behindDoc="1" locked="0" layoutInCell="1" allowOverlap="1" wp14:anchorId="57D31028" wp14:editId="51A2CA44">
          <wp:simplePos x="0" y="0"/>
          <wp:positionH relativeFrom="page">
            <wp:posOffset>3383967</wp:posOffset>
          </wp:positionH>
          <wp:positionV relativeFrom="paragraph">
            <wp:posOffset>-450215</wp:posOffset>
          </wp:positionV>
          <wp:extent cx="4192990" cy="873303"/>
          <wp:effectExtent l="0" t="0" r="0" b="3175"/>
          <wp:wrapNone/>
          <wp:docPr id="283932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9294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20137" cy="8789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AA66" w14:textId="695D9430" w:rsidR="00756536" w:rsidRPr="00756536" w:rsidRDefault="00C26E45" w:rsidP="00756536">
    <w:pPr>
      <w:pStyle w:val="Header"/>
    </w:pPr>
    <w:r>
      <w:rPr>
        <w:noProof/>
      </w:rPr>
      <w:drawing>
        <wp:anchor distT="0" distB="0" distL="114300" distR="114300" simplePos="0" relativeHeight="251664384" behindDoc="0" locked="0" layoutInCell="1" allowOverlap="1" wp14:anchorId="460AE528" wp14:editId="51C3B668">
          <wp:simplePos x="0" y="0"/>
          <wp:positionH relativeFrom="column">
            <wp:posOffset>-741045</wp:posOffset>
          </wp:positionH>
          <wp:positionV relativeFrom="paragraph">
            <wp:posOffset>-457314</wp:posOffset>
          </wp:positionV>
          <wp:extent cx="7639685" cy="1900555"/>
          <wp:effectExtent l="0" t="0" r="5715" b="0"/>
          <wp:wrapThrough wrapText="bothSides">
            <wp:wrapPolygon edited="0">
              <wp:start x="14578" y="0"/>
              <wp:lineTo x="14291" y="2309"/>
              <wp:lineTo x="3950" y="3753"/>
              <wp:lineTo x="2514" y="4041"/>
              <wp:lineTo x="2406" y="6928"/>
              <wp:lineTo x="2226" y="8372"/>
              <wp:lineTo x="2334" y="9238"/>
              <wp:lineTo x="2190" y="9671"/>
              <wp:lineTo x="2334" y="10248"/>
              <wp:lineTo x="15440" y="11547"/>
              <wp:lineTo x="2119" y="13856"/>
              <wp:lineTo x="2154" y="16166"/>
              <wp:lineTo x="5602" y="16166"/>
              <wp:lineTo x="3950" y="17609"/>
              <wp:lineTo x="3734" y="17898"/>
              <wp:lineTo x="3734" y="18475"/>
              <wp:lineTo x="0" y="18475"/>
              <wp:lineTo x="0" y="20640"/>
              <wp:lineTo x="1185" y="20929"/>
              <wp:lineTo x="18025" y="21362"/>
              <wp:lineTo x="20359" y="21362"/>
              <wp:lineTo x="20431" y="21073"/>
              <wp:lineTo x="21580" y="20351"/>
              <wp:lineTo x="21580" y="0"/>
              <wp:lineTo x="14578" y="0"/>
            </wp:wrapPolygon>
          </wp:wrapThrough>
          <wp:docPr id="40092370" name="Picture 1" descr="A line of white dots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43251" name="Picture 1" descr="A line of white dots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9685" cy="1900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18FD"/>
    <w:multiLevelType w:val="hybridMultilevel"/>
    <w:tmpl w:val="152A3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3304FD"/>
    <w:multiLevelType w:val="multilevel"/>
    <w:tmpl w:val="F2346C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A102BA"/>
    <w:multiLevelType w:val="hybridMultilevel"/>
    <w:tmpl w:val="DD187320"/>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5173AA"/>
    <w:multiLevelType w:val="hybridMultilevel"/>
    <w:tmpl w:val="106091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0D96BA4"/>
    <w:multiLevelType w:val="hybridMultilevel"/>
    <w:tmpl w:val="A2008B64"/>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33127"/>
    <w:multiLevelType w:val="hybridMultilevel"/>
    <w:tmpl w:val="E08053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7273496"/>
    <w:multiLevelType w:val="hybridMultilevel"/>
    <w:tmpl w:val="4438871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B9D676C"/>
    <w:multiLevelType w:val="hybridMultilevel"/>
    <w:tmpl w:val="CAD4D270"/>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21244"/>
    <w:multiLevelType w:val="hybridMultilevel"/>
    <w:tmpl w:val="52AE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DD24C5"/>
    <w:multiLevelType w:val="hybridMultilevel"/>
    <w:tmpl w:val="875C5C40"/>
    <w:lvl w:ilvl="0" w:tplc="9FDEA110">
      <w:start w:val="1"/>
      <w:numFmt w:val="decimal"/>
      <w:lvlText w:val="%1."/>
      <w:lvlJc w:val="left"/>
      <w:pPr>
        <w:ind w:left="1440" w:hanging="360"/>
      </w:pPr>
    </w:lvl>
    <w:lvl w:ilvl="1" w:tplc="950C8A7A">
      <w:start w:val="1"/>
      <w:numFmt w:val="decimal"/>
      <w:lvlText w:val="%2."/>
      <w:lvlJc w:val="left"/>
      <w:pPr>
        <w:ind w:left="1440" w:hanging="360"/>
      </w:pPr>
    </w:lvl>
    <w:lvl w:ilvl="2" w:tplc="101C4B8A">
      <w:start w:val="1"/>
      <w:numFmt w:val="decimal"/>
      <w:lvlText w:val="%3."/>
      <w:lvlJc w:val="left"/>
      <w:pPr>
        <w:ind w:left="1440" w:hanging="360"/>
      </w:pPr>
    </w:lvl>
    <w:lvl w:ilvl="3" w:tplc="514A1200">
      <w:start w:val="1"/>
      <w:numFmt w:val="decimal"/>
      <w:lvlText w:val="%4."/>
      <w:lvlJc w:val="left"/>
      <w:pPr>
        <w:ind w:left="1440" w:hanging="360"/>
      </w:pPr>
    </w:lvl>
    <w:lvl w:ilvl="4" w:tplc="046ABD8A">
      <w:start w:val="1"/>
      <w:numFmt w:val="decimal"/>
      <w:lvlText w:val="%5."/>
      <w:lvlJc w:val="left"/>
      <w:pPr>
        <w:ind w:left="1440" w:hanging="360"/>
      </w:pPr>
    </w:lvl>
    <w:lvl w:ilvl="5" w:tplc="E626C8AE">
      <w:start w:val="1"/>
      <w:numFmt w:val="decimal"/>
      <w:lvlText w:val="%6."/>
      <w:lvlJc w:val="left"/>
      <w:pPr>
        <w:ind w:left="1440" w:hanging="360"/>
      </w:pPr>
    </w:lvl>
    <w:lvl w:ilvl="6" w:tplc="2DC2F4A8">
      <w:start w:val="1"/>
      <w:numFmt w:val="decimal"/>
      <w:lvlText w:val="%7."/>
      <w:lvlJc w:val="left"/>
      <w:pPr>
        <w:ind w:left="1440" w:hanging="360"/>
      </w:pPr>
    </w:lvl>
    <w:lvl w:ilvl="7" w:tplc="51686598">
      <w:start w:val="1"/>
      <w:numFmt w:val="decimal"/>
      <w:lvlText w:val="%8."/>
      <w:lvlJc w:val="left"/>
      <w:pPr>
        <w:ind w:left="1440" w:hanging="360"/>
      </w:pPr>
    </w:lvl>
    <w:lvl w:ilvl="8" w:tplc="DA08FB88">
      <w:start w:val="1"/>
      <w:numFmt w:val="decimal"/>
      <w:lvlText w:val="%9."/>
      <w:lvlJc w:val="left"/>
      <w:pPr>
        <w:ind w:left="1440" w:hanging="360"/>
      </w:pPr>
    </w:lvl>
  </w:abstractNum>
  <w:abstractNum w:abstractNumId="10" w15:restartNumberingAfterBreak="0">
    <w:nsid w:val="444E20D1"/>
    <w:multiLevelType w:val="hybridMultilevel"/>
    <w:tmpl w:val="D624B042"/>
    <w:lvl w:ilvl="0" w:tplc="A1C46D56">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853A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586DB0"/>
    <w:multiLevelType w:val="hybridMultilevel"/>
    <w:tmpl w:val="2D242FC4"/>
    <w:lvl w:ilvl="0" w:tplc="D30C1B62">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7CB6ADD"/>
    <w:multiLevelType w:val="hybridMultilevel"/>
    <w:tmpl w:val="E58A6464"/>
    <w:lvl w:ilvl="0" w:tplc="0C09000F">
      <w:start w:val="1"/>
      <w:numFmt w:val="decimal"/>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4" w15:restartNumberingAfterBreak="0">
    <w:nsid w:val="4AD5040C"/>
    <w:multiLevelType w:val="hybridMultilevel"/>
    <w:tmpl w:val="ED349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D51EC8"/>
    <w:multiLevelType w:val="hybridMultilevel"/>
    <w:tmpl w:val="BCAA3E22"/>
    <w:lvl w:ilvl="0" w:tplc="E3EC7B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F81C4F"/>
    <w:multiLevelType w:val="hybridMultilevel"/>
    <w:tmpl w:val="6C50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74AEC"/>
    <w:multiLevelType w:val="hybridMultilevel"/>
    <w:tmpl w:val="2A82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E1A53"/>
    <w:multiLevelType w:val="hybridMultilevel"/>
    <w:tmpl w:val="44D0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22E9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BD392A"/>
    <w:multiLevelType w:val="hybridMultilevel"/>
    <w:tmpl w:val="F6E8A39A"/>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F0402D"/>
    <w:multiLevelType w:val="hybridMultilevel"/>
    <w:tmpl w:val="9200A3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4E4E18"/>
    <w:multiLevelType w:val="hybridMultilevel"/>
    <w:tmpl w:val="6A1E99AE"/>
    <w:lvl w:ilvl="0" w:tplc="0C09000F">
      <w:start w:val="1"/>
      <w:numFmt w:val="decimal"/>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 w15:restartNumberingAfterBreak="0">
    <w:nsid w:val="601C5634"/>
    <w:multiLevelType w:val="hybridMultilevel"/>
    <w:tmpl w:val="A896F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EF1003"/>
    <w:multiLevelType w:val="multilevel"/>
    <w:tmpl w:val="D13433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BA447A"/>
    <w:multiLevelType w:val="hybridMultilevel"/>
    <w:tmpl w:val="63FACD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4E13840"/>
    <w:multiLevelType w:val="hybridMultilevel"/>
    <w:tmpl w:val="5FB287DA"/>
    <w:lvl w:ilvl="0" w:tplc="0C09000F">
      <w:start w:val="1"/>
      <w:numFmt w:val="decimal"/>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7" w15:restartNumberingAfterBreak="0">
    <w:nsid w:val="7AD75DAB"/>
    <w:multiLevelType w:val="hybridMultilevel"/>
    <w:tmpl w:val="677694C0"/>
    <w:lvl w:ilvl="0" w:tplc="9A5A07A0">
      <w:start w:val="1"/>
      <w:numFmt w:val="decimal"/>
      <w:lvlText w:val="%1."/>
      <w:lvlJc w:val="left"/>
      <w:pPr>
        <w:ind w:left="1447" w:hanging="54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num w:numId="1" w16cid:durableId="1918785469">
    <w:abstractNumId w:val="8"/>
  </w:num>
  <w:num w:numId="2" w16cid:durableId="13762725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348590">
    <w:abstractNumId w:val="5"/>
  </w:num>
  <w:num w:numId="4" w16cid:durableId="1326056679">
    <w:abstractNumId w:val="18"/>
  </w:num>
  <w:num w:numId="5" w16cid:durableId="165638337">
    <w:abstractNumId w:val="15"/>
  </w:num>
  <w:num w:numId="6" w16cid:durableId="1123695853">
    <w:abstractNumId w:val="12"/>
  </w:num>
  <w:num w:numId="7" w16cid:durableId="1581137968">
    <w:abstractNumId w:val="4"/>
  </w:num>
  <w:num w:numId="8" w16cid:durableId="210381380">
    <w:abstractNumId w:val="7"/>
  </w:num>
  <w:num w:numId="9" w16cid:durableId="1667249357">
    <w:abstractNumId w:val="27"/>
  </w:num>
  <w:num w:numId="10" w16cid:durableId="1636334645">
    <w:abstractNumId w:val="17"/>
  </w:num>
  <w:num w:numId="11" w16cid:durableId="1816409002">
    <w:abstractNumId w:val="10"/>
  </w:num>
  <w:num w:numId="12" w16cid:durableId="1771470451">
    <w:abstractNumId w:val="11"/>
  </w:num>
  <w:num w:numId="13" w16cid:durableId="2042582278">
    <w:abstractNumId w:val="24"/>
  </w:num>
  <w:num w:numId="14" w16cid:durableId="301085470">
    <w:abstractNumId w:val="19"/>
  </w:num>
  <w:num w:numId="15" w16cid:durableId="24185399">
    <w:abstractNumId w:val="1"/>
  </w:num>
  <w:num w:numId="16" w16cid:durableId="169490687">
    <w:abstractNumId w:val="16"/>
  </w:num>
  <w:num w:numId="17" w16cid:durableId="629700953">
    <w:abstractNumId w:val="0"/>
  </w:num>
  <w:num w:numId="18" w16cid:durableId="1341004227">
    <w:abstractNumId w:val="20"/>
  </w:num>
  <w:num w:numId="19" w16cid:durableId="1771197207">
    <w:abstractNumId w:val="14"/>
  </w:num>
  <w:num w:numId="20" w16cid:durableId="1082022940">
    <w:abstractNumId w:val="23"/>
  </w:num>
  <w:num w:numId="21" w16cid:durableId="43532393">
    <w:abstractNumId w:val="6"/>
  </w:num>
  <w:num w:numId="22" w16cid:durableId="943881784">
    <w:abstractNumId w:val="2"/>
  </w:num>
  <w:num w:numId="23" w16cid:durableId="1287463438">
    <w:abstractNumId w:val="3"/>
  </w:num>
  <w:num w:numId="24" w16cid:durableId="791948176">
    <w:abstractNumId w:val="26"/>
  </w:num>
  <w:num w:numId="25" w16cid:durableId="1660621643">
    <w:abstractNumId w:val="13"/>
  </w:num>
  <w:num w:numId="26" w16cid:durableId="657617820">
    <w:abstractNumId w:val="25"/>
  </w:num>
  <w:num w:numId="27" w16cid:durableId="717047784">
    <w:abstractNumId w:val="22"/>
  </w:num>
  <w:num w:numId="28" w16cid:durableId="16928812">
    <w:abstractNumId w:val="21"/>
  </w:num>
  <w:num w:numId="29" w16cid:durableId="5619832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9A"/>
    <w:rsid w:val="00021A3D"/>
    <w:rsid w:val="00025438"/>
    <w:rsid w:val="00044FF3"/>
    <w:rsid w:val="0004675A"/>
    <w:rsid w:val="00051CBF"/>
    <w:rsid w:val="0006478A"/>
    <w:rsid w:val="00070651"/>
    <w:rsid w:val="00083B4F"/>
    <w:rsid w:val="000A6FA1"/>
    <w:rsid w:val="000D0AF3"/>
    <w:rsid w:val="000D0F48"/>
    <w:rsid w:val="00132369"/>
    <w:rsid w:val="001341B6"/>
    <w:rsid w:val="00145E44"/>
    <w:rsid w:val="001633FD"/>
    <w:rsid w:val="001744F5"/>
    <w:rsid w:val="001A50FB"/>
    <w:rsid w:val="001B27CF"/>
    <w:rsid w:val="001B52F9"/>
    <w:rsid w:val="001B54FD"/>
    <w:rsid w:val="001B7A87"/>
    <w:rsid w:val="001B7CD1"/>
    <w:rsid w:val="00204930"/>
    <w:rsid w:val="002156DB"/>
    <w:rsid w:val="002342EF"/>
    <w:rsid w:val="00246EF2"/>
    <w:rsid w:val="0024718E"/>
    <w:rsid w:val="00260B8D"/>
    <w:rsid w:val="00263C70"/>
    <w:rsid w:val="002656BC"/>
    <w:rsid w:val="00280169"/>
    <w:rsid w:val="00280C06"/>
    <w:rsid w:val="00283EB7"/>
    <w:rsid w:val="002843C7"/>
    <w:rsid w:val="002874CE"/>
    <w:rsid w:val="002937C1"/>
    <w:rsid w:val="002956EB"/>
    <w:rsid w:val="00296FEC"/>
    <w:rsid w:val="002B657B"/>
    <w:rsid w:val="002C7BBA"/>
    <w:rsid w:val="002D3E24"/>
    <w:rsid w:val="002F64E9"/>
    <w:rsid w:val="00300C8A"/>
    <w:rsid w:val="0030375D"/>
    <w:rsid w:val="0033476B"/>
    <w:rsid w:val="003522C2"/>
    <w:rsid w:val="0036514A"/>
    <w:rsid w:val="00372851"/>
    <w:rsid w:val="00394896"/>
    <w:rsid w:val="003A12FE"/>
    <w:rsid w:val="003A3903"/>
    <w:rsid w:val="003A787A"/>
    <w:rsid w:val="003C1C26"/>
    <w:rsid w:val="003D0A66"/>
    <w:rsid w:val="00414112"/>
    <w:rsid w:val="00422282"/>
    <w:rsid w:val="00430199"/>
    <w:rsid w:val="00430D2F"/>
    <w:rsid w:val="00451463"/>
    <w:rsid w:val="00462800"/>
    <w:rsid w:val="004658EA"/>
    <w:rsid w:val="00471F7F"/>
    <w:rsid w:val="00477E21"/>
    <w:rsid w:val="00494398"/>
    <w:rsid w:val="00497F38"/>
    <w:rsid w:val="004A3655"/>
    <w:rsid w:val="004A4EC3"/>
    <w:rsid w:val="004B2309"/>
    <w:rsid w:val="004B2C6B"/>
    <w:rsid w:val="004C7E95"/>
    <w:rsid w:val="004E000D"/>
    <w:rsid w:val="004E1073"/>
    <w:rsid w:val="004E2FC6"/>
    <w:rsid w:val="004F457E"/>
    <w:rsid w:val="005257D4"/>
    <w:rsid w:val="00536F4B"/>
    <w:rsid w:val="00540BCA"/>
    <w:rsid w:val="0057229A"/>
    <w:rsid w:val="005748EF"/>
    <w:rsid w:val="005A2699"/>
    <w:rsid w:val="005A2701"/>
    <w:rsid w:val="005E2416"/>
    <w:rsid w:val="005F483B"/>
    <w:rsid w:val="00601500"/>
    <w:rsid w:val="00631D31"/>
    <w:rsid w:val="00647E4B"/>
    <w:rsid w:val="00663B85"/>
    <w:rsid w:val="0068201A"/>
    <w:rsid w:val="00686F75"/>
    <w:rsid w:val="006963C4"/>
    <w:rsid w:val="006A1E28"/>
    <w:rsid w:val="006C1C4D"/>
    <w:rsid w:val="006C2F8C"/>
    <w:rsid w:val="006D03B1"/>
    <w:rsid w:val="006D5438"/>
    <w:rsid w:val="006F17A8"/>
    <w:rsid w:val="00721C5E"/>
    <w:rsid w:val="00727985"/>
    <w:rsid w:val="00733555"/>
    <w:rsid w:val="007421AD"/>
    <w:rsid w:val="00746389"/>
    <w:rsid w:val="00756536"/>
    <w:rsid w:val="007734E6"/>
    <w:rsid w:val="0078067E"/>
    <w:rsid w:val="007A0EFF"/>
    <w:rsid w:val="007A1F18"/>
    <w:rsid w:val="007B2076"/>
    <w:rsid w:val="007D5860"/>
    <w:rsid w:val="007E7FB0"/>
    <w:rsid w:val="00814628"/>
    <w:rsid w:val="0084252E"/>
    <w:rsid w:val="008531F0"/>
    <w:rsid w:val="00892424"/>
    <w:rsid w:val="008947AE"/>
    <w:rsid w:val="008A3F8E"/>
    <w:rsid w:val="008E0484"/>
    <w:rsid w:val="008E36D7"/>
    <w:rsid w:val="008F7B33"/>
    <w:rsid w:val="009075E2"/>
    <w:rsid w:val="0092636D"/>
    <w:rsid w:val="009514B1"/>
    <w:rsid w:val="0095755A"/>
    <w:rsid w:val="00961CC9"/>
    <w:rsid w:val="00971722"/>
    <w:rsid w:val="009C0ED6"/>
    <w:rsid w:val="00A00DF9"/>
    <w:rsid w:val="00A01BB4"/>
    <w:rsid w:val="00A2480E"/>
    <w:rsid w:val="00A254A1"/>
    <w:rsid w:val="00A274B9"/>
    <w:rsid w:val="00A40911"/>
    <w:rsid w:val="00A518E1"/>
    <w:rsid w:val="00A72186"/>
    <w:rsid w:val="00A86D4C"/>
    <w:rsid w:val="00A93FF1"/>
    <w:rsid w:val="00A972A4"/>
    <w:rsid w:val="00AA416A"/>
    <w:rsid w:val="00AA4641"/>
    <w:rsid w:val="00AC584F"/>
    <w:rsid w:val="00AC73F2"/>
    <w:rsid w:val="00AE1B75"/>
    <w:rsid w:val="00AE5EBA"/>
    <w:rsid w:val="00B1554C"/>
    <w:rsid w:val="00B646FB"/>
    <w:rsid w:val="00B8027B"/>
    <w:rsid w:val="00B96037"/>
    <w:rsid w:val="00BB541C"/>
    <w:rsid w:val="00BC5C3F"/>
    <w:rsid w:val="00BD1B8C"/>
    <w:rsid w:val="00C12F9A"/>
    <w:rsid w:val="00C14680"/>
    <w:rsid w:val="00C15B56"/>
    <w:rsid w:val="00C201F1"/>
    <w:rsid w:val="00C26E45"/>
    <w:rsid w:val="00C45F38"/>
    <w:rsid w:val="00C47631"/>
    <w:rsid w:val="00C54A97"/>
    <w:rsid w:val="00C639AF"/>
    <w:rsid w:val="00C86886"/>
    <w:rsid w:val="00CD00BF"/>
    <w:rsid w:val="00CD0B02"/>
    <w:rsid w:val="00CF070B"/>
    <w:rsid w:val="00D007E3"/>
    <w:rsid w:val="00D173A8"/>
    <w:rsid w:val="00D2368C"/>
    <w:rsid w:val="00D718AA"/>
    <w:rsid w:val="00D71E76"/>
    <w:rsid w:val="00D732A5"/>
    <w:rsid w:val="00D7570D"/>
    <w:rsid w:val="00D801DC"/>
    <w:rsid w:val="00DB08AF"/>
    <w:rsid w:val="00DF1A44"/>
    <w:rsid w:val="00DF4B7C"/>
    <w:rsid w:val="00DF7BA5"/>
    <w:rsid w:val="00E02BA3"/>
    <w:rsid w:val="00E14F0F"/>
    <w:rsid w:val="00E20BE0"/>
    <w:rsid w:val="00E23326"/>
    <w:rsid w:val="00E4641B"/>
    <w:rsid w:val="00E61CE6"/>
    <w:rsid w:val="00E96374"/>
    <w:rsid w:val="00EA11AC"/>
    <w:rsid w:val="00EC7340"/>
    <w:rsid w:val="00ED18BE"/>
    <w:rsid w:val="00ED68B9"/>
    <w:rsid w:val="00ED7D74"/>
    <w:rsid w:val="00EE13A1"/>
    <w:rsid w:val="00EF2F5D"/>
    <w:rsid w:val="00F02587"/>
    <w:rsid w:val="00F156D2"/>
    <w:rsid w:val="00F167A5"/>
    <w:rsid w:val="00F51C71"/>
    <w:rsid w:val="00F72D79"/>
    <w:rsid w:val="00F95B4C"/>
    <w:rsid w:val="00FA1359"/>
    <w:rsid w:val="00FA7287"/>
    <w:rsid w:val="00FB2D81"/>
    <w:rsid w:val="00FD7C45"/>
    <w:rsid w:val="00FE0D47"/>
    <w:rsid w:val="00FE5411"/>
    <w:rsid w:val="00FF3F69"/>
    <w:rsid w:val="00FF59C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EB4C"/>
  <w15:chartTrackingRefBased/>
  <w15:docId w15:val="{E41A61B4-C81E-8D47-A1B7-6C76C9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P"/>
    <w:qFormat/>
    <w:rsid w:val="00FB2D81"/>
    <w:pPr>
      <w:spacing w:after="160" w:line="259" w:lineRule="auto"/>
    </w:pPr>
    <w:rPr>
      <w:rFonts w:ascii="Arial" w:hAnsi="Arial" w:cs="Arial"/>
    </w:rPr>
  </w:style>
  <w:style w:type="paragraph" w:styleId="Heading1">
    <w:name w:val="heading 1"/>
    <w:aliases w:val="DPC H1"/>
    <w:basedOn w:val="Normal"/>
    <w:next w:val="Normal"/>
    <w:link w:val="Heading1Char"/>
    <w:uiPriority w:val="9"/>
    <w:qFormat/>
    <w:rsid w:val="00FB2D81"/>
    <w:pPr>
      <w:keepNext/>
      <w:keepLines/>
      <w:spacing w:before="360" w:after="120"/>
      <w:outlineLvl w:val="0"/>
    </w:pPr>
    <w:rPr>
      <w:rFonts w:eastAsiaTheme="majorEastAsia" w:cs="Times New Roman (Headings CS)"/>
      <w:b/>
      <w:color w:val="CC5733"/>
      <w:sz w:val="40"/>
      <w:szCs w:val="32"/>
    </w:rPr>
  </w:style>
  <w:style w:type="paragraph" w:styleId="Heading2">
    <w:name w:val="heading 2"/>
    <w:aliases w:val="DPC H2"/>
    <w:basedOn w:val="Normal"/>
    <w:next w:val="Normal"/>
    <w:link w:val="Heading2Char"/>
    <w:uiPriority w:val="9"/>
    <w:unhideWhenUsed/>
    <w:qFormat/>
    <w:rsid w:val="00FB2D81"/>
    <w:pPr>
      <w:keepNext/>
      <w:keepLines/>
      <w:spacing w:before="360" w:after="120"/>
      <w:outlineLvl w:val="1"/>
    </w:pPr>
    <w:rPr>
      <w:rFonts w:eastAsiaTheme="majorEastAsia" w:cs="Times New Roman (Headings CS)"/>
      <w:b/>
      <w:color w:val="CC5733"/>
      <w:sz w:val="32"/>
      <w:szCs w:val="26"/>
    </w:rPr>
  </w:style>
  <w:style w:type="paragraph" w:styleId="Heading3">
    <w:name w:val="heading 3"/>
    <w:aliases w:val="DPC H3"/>
    <w:basedOn w:val="Normal"/>
    <w:next w:val="Normal"/>
    <w:link w:val="Heading3Char"/>
    <w:uiPriority w:val="9"/>
    <w:unhideWhenUsed/>
    <w:qFormat/>
    <w:rsid w:val="00C45F38"/>
    <w:pPr>
      <w:keepNext/>
      <w:keepLines/>
      <w:spacing w:before="240" w:after="120"/>
      <w:outlineLvl w:val="2"/>
    </w:pPr>
    <w:rPr>
      <w:rFonts w:eastAsiaTheme="majorEastAsia" w:cs="Times New Roman (Headings CS)"/>
      <w:b/>
      <w:color w:val="000000" w:themeColor="text1"/>
      <w:sz w:val="28"/>
    </w:rPr>
  </w:style>
  <w:style w:type="paragraph" w:styleId="Heading4">
    <w:name w:val="heading 4"/>
    <w:basedOn w:val="Normal"/>
    <w:next w:val="Normal"/>
    <w:link w:val="Heading4Char"/>
    <w:uiPriority w:val="9"/>
    <w:unhideWhenUsed/>
    <w:rsid w:val="00C45F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F9A"/>
    <w:pPr>
      <w:autoSpaceDE w:val="0"/>
      <w:autoSpaceDN w:val="0"/>
      <w:adjustRightInd w:val="0"/>
    </w:pPr>
    <w:rPr>
      <w:rFonts w:ascii="Neue Haas Grotesk Text Pro" w:hAnsi="Neue Haas Grotesk Text Pro" w:cs="Neue Haas Grotesk Text Pro"/>
      <w:color w:val="000000"/>
      <w:lang w:val="en-GB"/>
    </w:rPr>
  </w:style>
  <w:style w:type="table" w:styleId="PlainTable3">
    <w:name w:val="Plain Table 3"/>
    <w:basedOn w:val="TableNormal"/>
    <w:uiPriority w:val="43"/>
    <w:rsid w:val="00C12F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12F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1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Footer">
    <w:name w:val="footer"/>
    <w:basedOn w:val="Normal"/>
    <w:link w:val="FooterChar"/>
    <w:uiPriority w:val="99"/>
    <w:unhideWhenUsed/>
    <w:rsid w:val="0075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ListParagraph">
    <w:name w:val="List Paragraph"/>
    <w:aliases w:val="DPC List Paragraph P"/>
    <w:basedOn w:val="Normal"/>
    <w:uiPriority w:val="34"/>
    <w:qFormat/>
    <w:rsid w:val="00C45F38"/>
    <w:pPr>
      <w:spacing w:after="120" w:line="240" w:lineRule="auto"/>
      <w:ind w:left="907"/>
    </w:pPr>
    <w:rPr>
      <w:rFonts w:cs="Calibri"/>
      <w:color w:val="000000" w:themeColor="text1"/>
      <w:szCs w:val="22"/>
      <w14:ligatures w14:val="standardContextual"/>
    </w:rPr>
  </w:style>
  <w:style w:type="character" w:styleId="Hyperlink">
    <w:name w:val="Hyperlink"/>
    <w:uiPriority w:val="99"/>
    <w:unhideWhenUsed/>
    <w:rsid w:val="00AC73F2"/>
    <w:rPr>
      <w:rFonts w:ascii="Arial" w:hAnsi="Arial"/>
      <w:b w:val="0"/>
      <w:i w:val="0"/>
      <w:color w:val="6AA489"/>
      <w:sz w:val="24"/>
      <w:u w:val="single"/>
    </w:rPr>
  </w:style>
  <w:style w:type="character" w:customStyle="1" w:styleId="Heading2Char">
    <w:name w:val="Heading 2 Char"/>
    <w:aliases w:val="DPC H2 Char"/>
    <w:basedOn w:val="DefaultParagraphFont"/>
    <w:link w:val="Heading2"/>
    <w:uiPriority w:val="9"/>
    <w:rsid w:val="00FB2D81"/>
    <w:rPr>
      <w:rFonts w:ascii="Arial" w:eastAsiaTheme="majorEastAsia" w:hAnsi="Arial" w:cs="Times New Roman (Headings CS)"/>
      <w:b/>
      <w:i w:val="0"/>
      <w:caps w:val="0"/>
      <w:smallCaps w:val="0"/>
      <w:strike w:val="0"/>
      <w:dstrike w:val="0"/>
      <w:vanish w:val="0"/>
      <w:color w:val="CC5733"/>
      <w:sz w:val="32"/>
      <w:szCs w:val="26"/>
      <w:vertAlign w:val="baseline"/>
    </w:rPr>
  </w:style>
  <w:style w:type="character" w:customStyle="1" w:styleId="Heading3Char">
    <w:name w:val="Heading 3 Char"/>
    <w:aliases w:val="DPC H3 Char"/>
    <w:basedOn w:val="DefaultParagraphFont"/>
    <w:link w:val="Heading3"/>
    <w:uiPriority w:val="9"/>
    <w:rsid w:val="00C45F38"/>
    <w:rPr>
      <w:rFonts w:ascii="Arial" w:eastAsiaTheme="majorEastAsia" w:hAnsi="Arial" w:cs="Times New Roman (Headings CS)"/>
      <w:b/>
      <w:i w:val="0"/>
      <w:caps w:val="0"/>
      <w:smallCaps w:val="0"/>
      <w:strike w:val="0"/>
      <w:dstrike w:val="0"/>
      <w:vanish w:val="0"/>
      <w:color w:val="000000" w:themeColor="text1"/>
      <w:sz w:val="28"/>
      <w:vertAlign w:val="baseline"/>
    </w:rPr>
  </w:style>
  <w:style w:type="character" w:customStyle="1" w:styleId="Heading1Char">
    <w:name w:val="Heading 1 Char"/>
    <w:aliases w:val="DPC H1 Char"/>
    <w:basedOn w:val="DefaultParagraphFont"/>
    <w:link w:val="Heading1"/>
    <w:uiPriority w:val="9"/>
    <w:rsid w:val="00FB2D81"/>
    <w:rPr>
      <w:rFonts w:ascii="Arial" w:eastAsiaTheme="majorEastAsia" w:hAnsi="Arial" w:cs="Times New Roman (Headings CS)"/>
      <w:b/>
      <w:i w:val="0"/>
      <w:caps w:val="0"/>
      <w:smallCaps w:val="0"/>
      <w:strike w:val="0"/>
      <w:dstrike w:val="0"/>
      <w:vanish w:val="0"/>
      <w:color w:val="CC5733"/>
      <w:sz w:val="40"/>
      <w:szCs w:val="32"/>
      <w:vertAlign w:val="baseline"/>
    </w:rPr>
  </w:style>
  <w:style w:type="paragraph" w:styleId="NoSpacing">
    <w:name w:val="No Spacing"/>
    <w:uiPriority w:val="1"/>
    <w:rsid w:val="00FB2D81"/>
    <w:rPr>
      <w:rFonts w:ascii="Arial" w:hAnsi="Arial" w:cs="Arial"/>
    </w:rPr>
  </w:style>
  <w:style w:type="character" w:customStyle="1" w:styleId="Heading4Char">
    <w:name w:val="Heading 4 Char"/>
    <w:basedOn w:val="DefaultParagraphFont"/>
    <w:link w:val="Heading4"/>
    <w:uiPriority w:val="9"/>
    <w:rsid w:val="00C45F38"/>
    <w:rPr>
      <w:rFonts w:asciiTheme="majorHAnsi" w:eastAsiaTheme="majorEastAsia" w:hAnsiTheme="majorHAnsi" w:cstheme="majorBidi"/>
      <w:b w:val="0"/>
      <w:i/>
      <w:iCs/>
      <w:caps w:val="0"/>
      <w:smallCaps w:val="0"/>
      <w:strike w:val="0"/>
      <w:dstrike w:val="0"/>
      <w:vanish w:val="0"/>
      <w:color w:val="2F5496" w:themeColor="accent1" w:themeShade="BF"/>
      <w:sz w:val="24"/>
      <w:vertAlign w:val="baseline"/>
    </w:rPr>
  </w:style>
  <w:style w:type="character" w:styleId="IntenseEmphasis">
    <w:name w:val="Intense Emphasis"/>
    <w:basedOn w:val="DefaultParagraphFont"/>
    <w:uiPriority w:val="21"/>
    <w:rsid w:val="00C45F38"/>
    <w:rPr>
      <w:rFonts w:ascii="Arial" w:hAnsi="Arial"/>
      <w:b w:val="0"/>
      <w:i/>
      <w:iCs/>
      <w:caps w:val="0"/>
      <w:smallCaps w:val="0"/>
      <w:strike w:val="0"/>
      <w:dstrike w:val="0"/>
      <w:vanish w:val="0"/>
      <w:color w:val="4472C4" w:themeColor="accent1"/>
      <w:sz w:val="24"/>
      <w:vertAlign w:val="baseline"/>
    </w:rPr>
  </w:style>
  <w:style w:type="paragraph" w:customStyle="1" w:styleId="Formfields">
    <w:name w:val="Form fields"/>
    <w:basedOn w:val="Default"/>
    <w:qFormat/>
    <w:rsid w:val="00C45F38"/>
    <w:pPr>
      <w:framePr w:hSpace="180" w:wrap="around" w:vAnchor="text" w:hAnchor="text" w:y="1"/>
      <w:suppressOverlap/>
    </w:pPr>
    <w:rPr>
      <w:rFonts w:ascii="Arial" w:hAnsi="Arial"/>
      <w:color w:val="CC5733"/>
    </w:rPr>
  </w:style>
  <w:style w:type="character" w:styleId="SubtleEmphasis">
    <w:name w:val="Subtle Emphasis"/>
    <w:basedOn w:val="DefaultParagraphFont"/>
    <w:uiPriority w:val="19"/>
    <w:rsid w:val="00C45F38"/>
    <w:rPr>
      <w:rFonts w:ascii="Arial" w:hAnsi="Arial"/>
      <w:b w:val="0"/>
      <w:i/>
      <w:iCs/>
      <w:caps w:val="0"/>
      <w:smallCaps w:val="0"/>
      <w:strike w:val="0"/>
      <w:dstrike w:val="0"/>
      <w:vanish w:val="0"/>
      <w:color w:val="404040" w:themeColor="text1" w:themeTint="BF"/>
      <w:sz w:val="24"/>
      <w:vertAlign w:val="baseline"/>
    </w:rPr>
  </w:style>
  <w:style w:type="character" w:styleId="FollowedHyperlink">
    <w:name w:val="FollowedHyperlink"/>
    <w:basedOn w:val="DefaultParagraphFont"/>
    <w:uiPriority w:val="99"/>
    <w:semiHidden/>
    <w:unhideWhenUsed/>
    <w:rsid w:val="00AC73F2"/>
    <w:rPr>
      <w:rFonts w:ascii="Arial" w:hAnsi="Arial"/>
      <w:b w:val="0"/>
      <w:i w:val="0"/>
      <w:caps w:val="0"/>
      <w:smallCaps w:val="0"/>
      <w:strike w:val="0"/>
      <w:dstrike w:val="0"/>
      <w:vanish w:val="0"/>
      <w:color w:val="954F72" w:themeColor="followedHyperlink"/>
      <w:sz w:val="24"/>
      <w:u w:val="single"/>
      <w:vertAlign w:val="baseline"/>
    </w:rPr>
  </w:style>
  <w:style w:type="paragraph" w:styleId="Revision">
    <w:name w:val="Revision"/>
    <w:hidden/>
    <w:uiPriority w:val="99"/>
    <w:semiHidden/>
    <w:rsid w:val="00A00DF9"/>
    <w:rPr>
      <w:rFonts w:ascii="Arial" w:hAnsi="Arial" w:cs="Arial"/>
    </w:rPr>
  </w:style>
  <w:style w:type="character" w:styleId="CommentReference">
    <w:name w:val="annotation reference"/>
    <w:basedOn w:val="DefaultParagraphFont"/>
    <w:uiPriority w:val="99"/>
    <w:semiHidden/>
    <w:unhideWhenUsed/>
    <w:rsid w:val="008A3F8E"/>
    <w:rPr>
      <w:sz w:val="16"/>
      <w:szCs w:val="16"/>
    </w:rPr>
  </w:style>
  <w:style w:type="paragraph" w:styleId="CommentText">
    <w:name w:val="annotation text"/>
    <w:basedOn w:val="Normal"/>
    <w:link w:val="CommentTextChar"/>
    <w:uiPriority w:val="99"/>
    <w:unhideWhenUsed/>
    <w:rsid w:val="008A3F8E"/>
    <w:pPr>
      <w:spacing w:line="240" w:lineRule="auto"/>
    </w:pPr>
    <w:rPr>
      <w:sz w:val="20"/>
      <w:szCs w:val="20"/>
    </w:rPr>
  </w:style>
  <w:style w:type="character" w:customStyle="1" w:styleId="CommentTextChar">
    <w:name w:val="Comment Text Char"/>
    <w:basedOn w:val="DefaultParagraphFont"/>
    <w:link w:val="CommentText"/>
    <w:uiPriority w:val="99"/>
    <w:rsid w:val="008A3F8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A3F8E"/>
    <w:rPr>
      <w:b/>
      <w:bCs/>
    </w:rPr>
  </w:style>
  <w:style w:type="character" w:customStyle="1" w:styleId="CommentSubjectChar">
    <w:name w:val="Comment Subject Char"/>
    <w:basedOn w:val="CommentTextChar"/>
    <w:link w:val="CommentSubject"/>
    <w:uiPriority w:val="99"/>
    <w:semiHidden/>
    <w:rsid w:val="008A3F8E"/>
    <w:rPr>
      <w:rFonts w:ascii="Arial" w:hAnsi="Arial" w:cs="Arial"/>
      <w:b/>
      <w:bCs/>
      <w:sz w:val="20"/>
      <w:szCs w:val="20"/>
    </w:rPr>
  </w:style>
  <w:style w:type="character" w:styleId="PageNumber">
    <w:name w:val="page number"/>
    <w:basedOn w:val="DefaultParagraphFont"/>
    <w:uiPriority w:val="99"/>
    <w:semiHidden/>
    <w:unhideWhenUsed/>
    <w:rsid w:val="0033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446870">
      <w:bodyDiv w:val="1"/>
      <w:marLeft w:val="0"/>
      <w:marRight w:val="0"/>
      <w:marTop w:val="0"/>
      <w:marBottom w:val="0"/>
      <w:divBdr>
        <w:top w:val="none" w:sz="0" w:space="0" w:color="auto"/>
        <w:left w:val="none" w:sz="0" w:space="0" w:color="auto"/>
        <w:bottom w:val="none" w:sz="0" w:space="0" w:color="auto"/>
        <w:right w:val="none" w:sz="0" w:space="0" w:color="auto"/>
      </w:divBdr>
    </w:div>
    <w:div w:id="1503282031">
      <w:bodyDiv w:val="1"/>
      <w:marLeft w:val="0"/>
      <w:marRight w:val="0"/>
      <w:marTop w:val="0"/>
      <w:marBottom w:val="0"/>
      <w:divBdr>
        <w:top w:val="none" w:sz="0" w:space="0" w:color="auto"/>
        <w:left w:val="none" w:sz="0" w:space="0" w:color="auto"/>
        <w:bottom w:val="none" w:sz="0" w:space="0" w:color="auto"/>
        <w:right w:val="none" w:sz="0" w:space="0" w:color="auto"/>
      </w:divBdr>
    </w:div>
    <w:div w:id="1520848446">
      <w:bodyDiv w:val="1"/>
      <w:marLeft w:val="0"/>
      <w:marRight w:val="0"/>
      <w:marTop w:val="0"/>
      <w:marBottom w:val="0"/>
      <w:divBdr>
        <w:top w:val="none" w:sz="0" w:space="0" w:color="auto"/>
        <w:left w:val="none" w:sz="0" w:space="0" w:color="auto"/>
        <w:bottom w:val="none" w:sz="0" w:space="0" w:color="auto"/>
        <w:right w:val="none" w:sz="0" w:space="0" w:color="auto"/>
      </w:divBdr>
    </w:div>
    <w:div w:id="17706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gov.au/government/document-collections/leading-other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organisation/public-sector-commission/leadership-expect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9012fe-9a92-4954-b0a7-853fae50b610">
      <Terms xmlns="http://schemas.microsoft.com/office/infopath/2007/PartnerControls"/>
    </lcf76f155ced4ddcb4097134ff3c332f>
    <TaxCatchAll xmlns="a991264a-cd92-493e-8f32-b2890e39072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D56267112CDC4FB0D8582F58FF7CE1" ma:contentTypeVersion="15" ma:contentTypeDescription="Create a new document." ma:contentTypeScope="" ma:versionID="f94d12dcad3854eb22abdf20dcc8580a">
  <xsd:schema xmlns:xsd="http://www.w3.org/2001/XMLSchema" xmlns:xs="http://www.w3.org/2001/XMLSchema" xmlns:p="http://schemas.microsoft.com/office/2006/metadata/properties" xmlns:ns2="c69012fe-9a92-4954-b0a7-853fae50b610" xmlns:ns3="a991264a-cd92-493e-8f32-b2890e390722" targetNamespace="http://schemas.microsoft.com/office/2006/metadata/properties" ma:root="true" ma:fieldsID="d35f0a9e787f4f6dea3268110f07c61b" ns2:_="" ns3:_="">
    <xsd:import namespace="c69012fe-9a92-4954-b0a7-853fae50b610"/>
    <xsd:import namespace="a991264a-cd92-493e-8f32-b2890e3907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012fe-9a92-4954-b0a7-853fae50b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1264a-cd92-493e-8f32-b2890e3907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62d6b8-114e-468a-aa26-e736c33b1f80}" ma:internalName="TaxCatchAll" ma:showField="CatchAllData" ma:web="a991264a-cd92-493e-8f32-b2890e3907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C8040-AEBC-41D8-A94A-ECB21A268A77}">
  <ds:schemaRefs>
    <ds:schemaRef ds:uri="http://schemas.openxmlformats.org/officeDocument/2006/bibliography"/>
  </ds:schemaRefs>
</ds:datastoreItem>
</file>

<file path=customXml/itemProps2.xml><?xml version="1.0" encoding="utf-8"?>
<ds:datastoreItem xmlns:ds="http://schemas.openxmlformats.org/officeDocument/2006/customXml" ds:itemID="{0D486EFD-65BC-4DE6-A820-132570A6F814}">
  <ds:schemaRefs>
    <ds:schemaRef ds:uri="http://purl.org/dc/elements/1.1/"/>
    <ds:schemaRef ds:uri="http://schemas.microsoft.com/office/infopath/2007/PartnerControls"/>
    <ds:schemaRef ds:uri="http://www.w3.org/XML/1998/namespace"/>
    <ds:schemaRef ds:uri="http://purl.org/dc/terms/"/>
    <ds:schemaRef ds:uri="c69012fe-9a92-4954-b0a7-853fae50b610"/>
    <ds:schemaRef ds:uri="http://schemas.microsoft.com/office/2006/metadata/properties"/>
    <ds:schemaRef ds:uri="a991264a-cd92-493e-8f32-b2890e390722"/>
    <ds:schemaRef ds:uri="http://purl.org/dc/dcmityp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61143AB2-22D9-42F2-9DFC-08445147FB14}">
  <ds:schemaRefs>
    <ds:schemaRef ds:uri="http://schemas.microsoft.com/sharepoint/v3/contenttype/forms"/>
  </ds:schemaRefs>
</ds:datastoreItem>
</file>

<file path=customXml/itemProps4.xml><?xml version="1.0" encoding="utf-8"?>
<ds:datastoreItem xmlns:ds="http://schemas.openxmlformats.org/officeDocument/2006/customXml" ds:itemID="{35EE5D02-A64A-4E93-938B-97251AB9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012fe-9a92-4954-b0a7-853fae50b610"/>
    <ds:schemaRef ds:uri="a991264a-cd92-493e-8f32-b2890e390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Gwen</dc:creator>
  <cp:keywords/>
  <dc:description/>
  <cp:lastModifiedBy>Smith, Fiona</cp:lastModifiedBy>
  <cp:revision>2</cp:revision>
  <cp:lastPrinted>2024-03-14T05:17:00Z</cp:lastPrinted>
  <dcterms:created xsi:type="dcterms:W3CDTF">2025-09-10T04:37:00Z</dcterms:created>
  <dcterms:modified xsi:type="dcterms:W3CDTF">2025-09-10T04:37:00Z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2023-09-22T04:59:41Z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5ff54825-c302-4ef8-abce-08e0e4c14617</vt:lpwstr>
  </property>
  <property fmtid="{D5CDD505-2E9C-101B-9397-08002B2CF9AE}" pid="8" name="MSIP_Label_116cf7cf-4bad-475a-a557-f71d08d59046_ContentBits">
    <vt:lpwstr>0</vt:lpwstr>
  </property>
  <property fmtid="{D5CDD505-2E9C-101B-9397-08002B2CF9AE}" pid="9" name="_AdHocReviewCycleID">
    <vt:i4>367442089</vt:i4>
  </property>
  <property fmtid="{D5CDD505-2E9C-101B-9397-08002B2CF9AE}" pid="10" name="_NewReviewCycle">
    <vt:lpwstr/>
  </property>
  <property fmtid="{D5CDD505-2E9C-101B-9397-08002B2CF9AE}" pid="11" name="_EmailSubject">
    <vt:lpwstr>JDF Template - Response from People and Payroll Services [SR-0011424]</vt:lpwstr>
  </property>
  <property fmtid="{D5CDD505-2E9C-101B-9397-08002B2CF9AE}" pid="12" name="_AuthorEmail">
    <vt:lpwstr>Gavin.Seredynski@dpc.wa.gov.au</vt:lpwstr>
  </property>
  <property fmtid="{D5CDD505-2E9C-101B-9397-08002B2CF9AE}" pid="13" name="_AuthorEmailDisplayName">
    <vt:lpwstr>Seredynski, Gavin</vt:lpwstr>
  </property>
  <property fmtid="{D5CDD505-2E9C-101B-9397-08002B2CF9AE}" pid="14" name="_PreviousAdHocReviewCycleID">
    <vt:i4>2016571752</vt:i4>
  </property>
  <property fmtid="{D5CDD505-2E9C-101B-9397-08002B2CF9AE}" pid="15" name="ContentTypeId">
    <vt:lpwstr>0x01010070D56267112CDC4FB0D8582F58FF7CE1</vt:lpwstr>
  </property>
  <property fmtid="{D5CDD505-2E9C-101B-9397-08002B2CF9AE}" pid="16" name="_ReviewingToolsShownOnce">
    <vt:lpwstr/>
  </property>
</Properties>
</file>