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0CF44" w14:textId="41B7CE42" w:rsidR="004A4EC3" w:rsidRPr="00C14680" w:rsidRDefault="007B0CFF" w:rsidP="00280C06">
      <w:pPr>
        <w:spacing w:before="60" w:line="360" w:lineRule="auto"/>
        <w:rPr>
          <w:rFonts w:eastAsiaTheme="majorEastAsia" w:cs="Times New Roman (Headings CS)"/>
          <w:b/>
          <w:color w:val="CC5733"/>
          <w:sz w:val="20"/>
          <w:szCs w:val="20"/>
        </w:rPr>
      </w:pPr>
      <w:r>
        <w:rPr>
          <w:rFonts w:eastAsiaTheme="majorEastAsia" w:cs="Times New Roman (Headings CS)"/>
          <w:b/>
          <w:color w:val="CC5733"/>
          <w:sz w:val="30"/>
          <w:szCs w:val="30"/>
        </w:rPr>
        <w:t>Governance and Risk Coordinator</w:t>
      </w:r>
      <w:r w:rsidR="004A4EC3" w:rsidRPr="00C14680">
        <w:rPr>
          <w:rFonts w:eastAsiaTheme="majorEastAsia" w:cs="Times New Roman (Headings CS)"/>
          <w:b/>
          <w:color w:val="CC5733"/>
          <w:sz w:val="30"/>
          <w:szCs w:val="30"/>
        </w:rPr>
        <w:t xml:space="preserve">, </w:t>
      </w:r>
      <w:r w:rsidR="006A1E28">
        <w:rPr>
          <w:rFonts w:eastAsiaTheme="majorEastAsia" w:cs="Times New Roman (Headings CS)"/>
          <w:b/>
          <w:color w:val="CC5733"/>
          <w:sz w:val="30"/>
          <w:szCs w:val="30"/>
        </w:rPr>
        <w:t xml:space="preserve">Level </w:t>
      </w:r>
      <w:r>
        <w:rPr>
          <w:rFonts w:eastAsiaTheme="majorEastAsia" w:cs="Times New Roman (Headings CS)"/>
          <w:b/>
          <w:color w:val="CC5733"/>
          <w:sz w:val="30"/>
          <w:szCs w:val="30"/>
        </w:rPr>
        <w:t>5</w:t>
      </w:r>
      <w:r w:rsidR="004A4EC3" w:rsidRPr="00C14680">
        <w:rPr>
          <w:rFonts w:eastAsiaTheme="majorEastAsia" w:cs="Times New Roman (Headings CS)"/>
          <w:b/>
          <w:color w:val="CC5733"/>
          <w:sz w:val="30"/>
          <w:szCs w:val="30"/>
        </w:rPr>
        <w:t xml:space="preserve"> (</w:t>
      </w:r>
      <w:r>
        <w:rPr>
          <w:rFonts w:eastAsiaTheme="majorEastAsia" w:cs="Times New Roman (Headings CS)"/>
          <w:b/>
          <w:color w:val="CC5733"/>
          <w:sz w:val="30"/>
          <w:szCs w:val="30"/>
        </w:rPr>
        <w:t>DPC19055</w:t>
      </w:r>
      <w:r w:rsidR="004A4EC3" w:rsidRPr="00C14680">
        <w:rPr>
          <w:rFonts w:eastAsiaTheme="majorEastAsia" w:cs="Times New Roman (Headings CS)"/>
          <w:b/>
          <w:color w:val="CC5733"/>
          <w:sz w:val="30"/>
          <w:szCs w:val="30"/>
        </w:rPr>
        <w:t>)</w:t>
      </w:r>
    </w:p>
    <w:tbl>
      <w:tblPr>
        <w:tblStyle w:val="TableGrid"/>
        <w:tblpPr w:leftFromText="180" w:rightFromText="180" w:vertAnchor="text" w:tblpY="1"/>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552"/>
        <w:gridCol w:w="2747"/>
        <w:gridCol w:w="1647"/>
        <w:gridCol w:w="2410"/>
      </w:tblGrid>
      <w:tr w:rsidR="004A4EC3" w:rsidRPr="00D007E3" w14:paraId="361BAA74" w14:textId="77777777" w:rsidTr="009514B1">
        <w:trPr>
          <w:trHeight w:val="465"/>
        </w:trPr>
        <w:tc>
          <w:tcPr>
            <w:tcW w:w="2552" w:type="dxa"/>
          </w:tcPr>
          <w:p w14:paraId="77A0CA35" w14:textId="35EFD895" w:rsidR="004A4EC3" w:rsidRPr="00D007E3" w:rsidRDefault="009514B1" w:rsidP="004A4EC3">
            <w:pPr>
              <w:pStyle w:val="Formfields"/>
              <w:framePr w:hSpace="0" w:wrap="auto" w:vAnchor="margin" w:yAlign="inline"/>
              <w:suppressOverlap w:val="0"/>
              <w:rPr>
                <w:color w:val="000000" w:themeColor="text1"/>
              </w:rPr>
            </w:pPr>
            <w:r>
              <w:t>Division/</w:t>
            </w:r>
            <w:r w:rsidR="004A4EC3" w:rsidRPr="00D007E3">
              <w:t xml:space="preserve">Directorate: </w:t>
            </w:r>
          </w:p>
        </w:tc>
        <w:tc>
          <w:tcPr>
            <w:tcW w:w="2747" w:type="dxa"/>
          </w:tcPr>
          <w:p w14:paraId="6E7A5B79" w14:textId="2057C64A" w:rsidR="004A4EC3" w:rsidRPr="00D007E3" w:rsidRDefault="007B0CFF" w:rsidP="004A4EC3">
            <w:r>
              <w:t>State Services</w:t>
            </w:r>
          </w:p>
        </w:tc>
        <w:tc>
          <w:tcPr>
            <w:tcW w:w="1647" w:type="dxa"/>
          </w:tcPr>
          <w:p w14:paraId="67141356" w14:textId="77777777" w:rsidR="004A4EC3" w:rsidRPr="00D007E3" w:rsidRDefault="004A4EC3" w:rsidP="004A4EC3">
            <w:pPr>
              <w:pStyle w:val="Formfields"/>
              <w:framePr w:hSpace="0" w:wrap="auto" w:vAnchor="margin" w:yAlign="inline"/>
              <w:suppressOverlap w:val="0"/>
            </w:pPr>
            <w:r w:rsidRPr="00D007E3">
              <w:t xml:space="preserve">Reports to: </w:t>
            </w:r>
          </w:p>
        </w:tc>
        <w:tc>
          <w:tcPr>
            <w:tcW w:w="2410" w:type="dxa"/>
          </w:tcPr>
          <w:p w14:paraId="0836B71E" w14:textId="7C67F7E5" w:rsidR="004A4EC3" w:rsidRPr="006A1E28" w:rsidRDefault="007B0CFF" w:rsidP="004A4EC3">
            <w:pPr>
              <w:rPr>
                <w:color w:val="000000" w:themeColor="text1"/>
              </w:rPr>
            </w:pPr>
            <w:r w:rsidRPr="007B0CFF">
              <w:rPr>
                <w:color w:val="000000" w:themeColor="text1"/>
              </w:rPr>
              <w:t>Manager Governance and Strategy</w:t>
            </w:r>
          </w:p>
        </w:tc>
      </w:tr>
      <w:tr w:rsidR="004A4EC3" w:rsidRPr="00D007E3" w14:paraId="77F9C586" w14:textId="77777777" w:rsidTr="009514B1">
        <w:trPr>
          <w:trHeight w:val="85"/>
        </w:trPr>
        <w:tc>
          <w:tcPr>
            <w:tcW w:w="2552" w:type="dxa"/>
          </w:tcPr>
          <w:p w14:paraId="5E66F297" w14:textId="1455B585" w:rsidR="004A4EC3" w:rsidRPr="00D007E3" w:rsidRDefault="004A4EC3" w:rsidP="004A4EC3">
            <w:pPr>
              <w:pStyle w:val="Default"/>
              <w:rPr>
                <w:color w:val="000000" w:themeColor="text1"/>
              </w:rPr>
            </w:pPr>
            <w:r w:rsidRPr="00D007E3">
              <w:rPr>
                <w:color w:val="CC5733"/>
              </w:rPr>
              <w:t xml:space="preserve">Branch/Section: </w:t>
            </w:r>
          </w:p>
        </w:tc>
        <w:tc>
          <w:tcPr>
            <w:tcW w:w="2747" w:type="dxa"/>
          </w:tcPr>
          <w:p w14:paraId="2E756B84" w14:textId="42BFC13B" w:rsidR="004A4EC3" w:rsidRPr="00D007E3" w:rsidRDefault="009A0C1E" w:rsidP="004A4EC3">
            <w:r>
              <w:t>Governance and Strategy</w:t>
            </w:r>
          </w:p>
        </w:tc>
        <w:tc>
          <w:tcPr>
            <w:tcW w:w="1647" w:type="dxa"/>
          </w:tcPr>
          <w:p w14:paraId="69AA6691" w14:textId="77777777" w:rsidR="004A4EC3" w:rsidRPr="00D007E3" w:rsidRDefault="004A4EC3" w:rsidP="004A4EC3">
            <w:pPr>
              <w:pStyle w:val="Formfields"/>
              <w:framePr w:hSpace="0" w:wrap="auto" w:vAnchor="margin" w:yAlign="inline"/>
              <w:suppressOverlap w:val="0"/>
            </w:pPr>
            <w:r w:rsidRPr="00D007E3">
              <w:t xml:space="preserve">Supervises: </w:t>
            </w:r>
          </w:p>
        </w:tc>
        <w:tc>
          <w:tcPr>
            <w:tcW w:w="2410" w:type="dxa"/>
          </w:tcPr>
          <w:p w14:paraId="492DAAAF" w14:textId="0DF7CE2E" w:rsidR="004A4EC3" w:rsidRPr="006A1E28" w:rsidRDefault="006A1E28" w:rsidP="004A4EC3">
            <w:pPr>
              <w:rPr>
                <w:color w:val="000000" w:themeColor="text1"/>
              </w:rPr>
            </w:pPr>
            <w:r w:rsidRPr="006A1E28">
              <w:rPr>
                <w:color w:val="000000" w:themeColor="text1"/>
              </w:rPr>
              <w:t>Nil</w:t>
            </w:r>
            <w:r w:rsidR="004A4EC3" w:rsidRPr="006A1E28">
              <w:rPr>
                <w:color w:val="000000" w:themeColor="text1"/>
              </w:rPr>
              <w:t xml:space="preserve"> </w:t>
            </w:r>
          </w:p>
        </w:tc>
      </w:tr>
      <w:tr w:rsidR="004A4EC3" w:rsidRPr="00D007E3" w14:paraId="6BBCF80B" w14:textId="77777777" w:rsidTr="009514B1">
        <w:trPr>
          <w:trHeight w:val="434"/>
        </w:trPr>
        <w:tc>
          <w:tcPr>
            <w:tcW w:w="2552" w:type="dxa"/>
          </w:tcPr>
          <w:p w14:paraId="441BB099" w14:textId="16118058" w:rsidR="004A4EC3" w:rsidRPr="00D007E3" w:rsidRDefault="004A4EC3" w:rsidP="004A4EC3">
            <w:pPr>
              <w:pStyle w:val="Default"/>
              <w:rPr>
                <w:color w:val="000000" w:themeColor="text1"/>
              </w:rPr>
            </w:pPr>
            <w:r w:rsidRPr="00D007E3">
              <w:rPr>
                <w:color w:val="CC5733"/>
              </w:rPr>
              <w:t xml:space="preserve">Location: </w:t>
            </w:r>
          </w:p>
        </w:tc>
        <w:tc>
          <w:tcPr>
            <w:tcW w:w="2747" w:type="dxa"/>
          </w:tcPr>
          <w:p w14:paraId="7552AE47" w14:textId="775F0025" w:rsidR="004A4EC3" w:rsidRPr="00D007E3" w:rsidRDefault="004E2FC6" w:rsidP="004A4EC3">
            <w:r>
              <w:t xml:space="preserve">West Perth </w:t>
            </w:r>
          </w:p>
        </w:tc>
        <w:tc>
          <w:tcPr>
            <w:tcW w:w="1647" w:type="dxa"/>
          </w:tcPr>
          <w:p w14:paraId="7FF4CBAE" w14:textId="0CC22394" w:rsidR="004A4EC3" w:rsidRPr="00D007E3" w:rsidRDefault="004A4EC3" w:rsidP="004A4EC3">
            <w:pPr>
              <w:pStyle w:val="Default"/>
              <w:rPr>
                <w:color w:val="CC5733"/>
              </w:rPr>
            </w:pPr>
          </w:p>
        </w:tc>
        <w:tc>
          <w:tcPr>
            <w:tcW w:w="2410" w:type="dxa"/>
          </w:tcPr>
          <w:p w14:paraId="6D36D602" w14:textId="0EDB96F9" w:rsidR="004A4EC3" w:rsidRPr="00D007E3" w:rsidRDefault="004A4EC3" w:rsidP="004A4EC3"/>
        </w:tc>
      </w:tr>
    </w:tbl>
    <w:p w14:paraId="0659CC79" w14:textId="4FE04358" w:rsidR="00756536" w:rsidRPr="00070651" w:rsidRDefault="004A4EC3" w:rsidP="00C72ED1">
      <w:pPr>
        <w:pStyle w:val="Heading1"/>
        <w:jc w:val="both"/>
        <w:rPr>
          <w:sz w:val="24"/>
          <w:szCs w:val="24"/>
        </w:rPr>
      </w:pPr>
      <w:r w:rsidRPr="00070651">
        <w:rPr>
          <w:sz w:val="24"/>
          <w:szCs w:val="24"/>
        </w:rPr>
        <w:t>Our vision is to lead a connected government that delivers a brighter future for Western Australians</w:t>
      </w:r>
      <w:r w:rsidR="005257D4">
        <w:rPr>
          <w:sz w:val="24"/>
          <w:szCs w:val="24"/>
        </w:rPr>
        <w:t xml:space="preserve">. </w:t>
      </w:r>
    </w:p>
    <w:p w14:paraId="064B12A5" w14:textId="4BCEFCFE" w:rsidR="00756536" w:rsidRPr="004A3655" w:rsidRDefault="00756536" w:rsidP="00C72ED1">
      <w:pPr>
        <w:spacing w:line="240" w:lineRule="auto"/>
        <w:jc w:val="both"/>
      </w:pPr>
      <w:r w:rsidRPr="004A3655">
        <w:t>The Department of the Premier and Cabinet (DPC) leads the public sector in providing whole-of-Government advice and support to the Premier and Cabinet in their service of the WA community.</w:t>
      </w:r>
      <w:r w:rsidR="00044FF3" w:rsidRPr="004A3655">
        <w:t xml:space="preserve"> </w:t>
      </w:r>
    </w:p>
    <w:p w14:paraId="1AEF4CDD" w14:textId="3AB0B98D" w:rsidR="00FE0D47" w:rsidRPr="004A3655" w:rsidRDefault="00FE0D47" w:rsidP="00C72ED1">
      <w:pPr>
        <w:spacing w:line="240" w:lineRule="auto"/>
        <w:jc w:val="both"/>
      </w:pPr>
      <w:r w:rsidRPr="004A3655">
        <w:t xml:space="preserve">Our areas of responsibility include Office of Digital Government, </w:t>
      </w:r>
      <w:r>
        <w:t xml:space="preserve">Intergovernmental Relations and Strategic Priorities, </w:t>
      </w:r>
      <w:r w:rsidRPr="004A3655">
        <w:t>Aboriginal Engagement and Community Policy, Infrastructure, Economy and</w:t>
      </w:r>
      <w:r>
        <w:t xml:space="preserve"> Environment</w:t>
      </w:r>
      <w:r w:rsidRPr="004A3655">
        <w:t xml:space="preserve"> and </w:t>
      </w:r>
      <w:r w:rsidR="00892424">
        <w:t>State Services</w:t>
      </w:r>
      <w:r w:rsidRPr="004A3655">
        <w:t>.</w:t>
      </w:r>
    </w:p>
    <w:p w14:paraId="692C6C49" w14:textId="71F38795" w:rsidR="003A787A" w:rsidRPr="004A3655" w:rsidRDefault="00A00DF9" w:rsidP="00C72ED1">
      <w:pPr>
        <w:spacing w:line="240" w:lineRule="auto"/>
        <w:jc w:val="both"/>
        <w:rPr>
          <w:rFonts w:ascii="Neue Haas Grotesk Text Pro" w:hAnsi="Neue Haas Grotesk Text Pro"/>
          <w:color w:val="000000" w:themeColor="text1"/>
        </w:rPr>
      </w:pPr>
      <w:r w:rsidRPr="004A3655">
        <w:t>Join us and work in a role where you can make a real difference to the lives of children, families, individuals and communities throughout Western Australia.</w:t>
      </w:r>
      <w:bookmarkStart w:id="0" w:name="_Hlk125896025"/>
    </w:p>
    <w:p w14:paraId="5022EB32" w14:textId="3C4E53A4" w:rsidR="00477E21" w:rsidRPr="00070651" w:rsidRDefault="003522C2" w:rsidP="00C72ED1">
      <w:pPr>
        <w:pStyle w:val="Heading1"/>
        <w:jc w:val="both"/>
        <w:rPr>
          <w:sz w:val="24"/>
          <w:szCs w:val="24"/>
        </w:rPr>
      </w:pPr>
      <w:r>
        <w:rPr>
          <w:sz w:val="24"/>
          <w:szCs w:val="24"/>
        </w:rPr>
        <w:t xml:space="preserve">Our values, </w:t>
      </w:r>
      <w:r w:rsidRPr="00CD0B02">
        <w:rPr>
          <w:i/>
          <w:iCs/>
          <w:sz w:val="24"/>
          <w:szCs w:val="24"/>
        </w:rPr>
        <w:t>Leadership, Connection and Impact</w:t>
      </w:r>
      <w:r>
        <w:rPr>
          <w:sz w:val="24"/>
          <w:szCs w:val="24"/>
        </w:rPr>
        <w:t xml:space="preserve">, underpin the way we work. </w:t>
      </w:r>
    </w:p>
    <w:bookmarkEnd w:id="0"/>
    <w:p w14:paraId="25D01071" w14:textId="77777777" w:rsidR="009A0C1E" w:rsidRDefault="009A0C1E" w:rsidP="00C72ED1">
      <w:pPr>
        <w:spacing w:after="368"/>
        <w:ind w:left="16"/>
        <w:jc w:val="both"/>
      </w:pPr>
      <w:r>
        <w:t>As part of the State Services Division, the core purpose of the Governance and Reporting Branch is to manage the Department's corporate governance and risk exposure. This includes oversight and coordination of the Department Corporate Governance Framework; Key Performance Indicators across business divisions; oversight of the business continuity plans; coordination of internal audits and assistance with external audits; consideration of integrity matters including conflict of interest disclosures; and Procurement Services for the Department.</w:t>
      </w:r>
      <w:r>
        <w:rPr>
          <w:rFonts w:eastAsia="Arial"/>
          <w:b/>
          <w:color w:val="CC5733"/>
        </w:rPr>
        <w:t xml:space="preserve"> </w:t>
      </w:r>
    </w:p>
    <w:p w14:paraId="7D1D0209" w14:textId="551A0CAA" w:rsidR="00477E21" w:rsidRPr="00280C06" w:rsidRDefault="00A00DF9" w:rsidP="00C72ED1">
      <w:pPr>
        <w:pStyle w:val="Heading1"/>
        <w:jc w:val="both"/>
        <w:rPr>
          <w:b w:val="0"/>
        </w:rPr>
      </w:pPr>
      <w:r w:rsidRPr="00280C06">
        <w:rPr>
          <w:sz w:val="24"/>
          <w:szCs w:val="24"/>
        </w:rPr>
        <w:t xml:space="preserve">About the </w:t>
      </w:r>
      <w:r w:rsidR="00756536" w:rsidRPr="00280C06">
        <w:rPr>
          <w:sz w:val="24"/>
          <w:szCs w:val="24"/>
        </w:rPr>
        <w:t>Role</w:t>
      </w:r>
      <w:r w:rsidR="00C45F38" w:rsidRPr="00280C06">
        <w:rPr>
          <w:sz w:val="24"/>
          <w:szCs w:val="24"/>
        </w:rPr>
        <w:t xml:space="preserve"> </w:t>
      </w:r>
      <w:r w:rsidR="004A4EC3" w:rsidRPr="00280C06">
        <w:rPr>
          <w:sz w:val="24"/>
          <w:szCs w:val="24"/>
        </w:rPr>
        <w:t>and Responsibilities</w:t>
      </w:r>
    </w:p>
    <w:p w14:paraId="731650E0" w14:textId="77777777" w:rsidR="009A0C1E" w:rsidRPr="009A0C1E" w:rsidRDefault="009A0C1E" w:rsidP="00C72ED1">
      <w:pPr>
        <w:spacing w:after="289" w:line="248" w:lineRule="auto"/>
        <w:ind w:right="14" w:hanging="10"/>
        <w:jc w:val="both"/>
      </w:pPr>
      <w:r w:rsidRPr="009A0C1E">
        <w:t xml:space="preserve">The Governance and Risk Coordinator provides governance and risk support and advice, assists in research and analysis in relation to the development, implementation and review of key governance and risk initiatives across the Department. </w:t>
      </w:r>
    </w:p>
    <w:p w14:paraId="3A29A600" w14:textId="77777777" w:rsidR="009A0C1E" w:rsidRPr="009A0C1E" w:rsidRDefault="009A0C1E" w:rsidP="00C72ED1">
      <w:pPr>
        <w:pStyle w:val="Heading1"/>
        <w:jc w:val="both"/>
        <w:rPr>
          <w:color w:val="auto"/>
          <w:sz w:val="24"/>
          <w:szCs w:val="24"/>
        </w:rPr>
      </w:pPr>
      <w:r w:rsidRPr="009A0C1E">
        <w:rPr>
          <w:color w:val="auto"/>
          <w:sz w:val="24"/>
          <w:szCs w:val="24"/>
        </w:rPr>
        <w:t xml:space="preserve">Corporate Governance </w:t>
      </w:r>
    </w:p>
    <w:p w14:paraId="6AD214F4" w14:textId="77777777" w:rsidR="009A0C1E" w:rsidRPr="009A0C1E" w:rsidRDefault="009A0C1E" w:rsidP="00C72ED1">
      <w:pPr>
        <w:numPr>
          <w:ilvl w:val="0"/>
          <w:numId w:val="19"/>
        </w:numPr>
        <w:spacing w:after="25" w:line="251" w:lineRule="auto"/>
        <w:ind w:hanging="360"/>
        <w:jc w:val="both"/>
      </w:pPr>
      <w:r w:rsidRPr="009A0C1E">
        <w:t>Assist and provide advice in maintaining the development of the Department’s corporate governance framework.</w:t>
      </w:r>
    </w:p>
    <w:p w14:paraId="187AD55F" w14:textId="77777777" w:rsidR="009A0C1E" w:rsidRPr="009A0C1E" w:rsidRDefault="009A0C1E" w:rsidP="00C72ED1">
      <w:pPr>
        <w:numPr>
          <w:ilvl w:val="0"/>
          <w:numId w:val="19"/>
        </w:numPr>
        <w:spacing w:after="25" w:line="251" w:lineRule="auto"/>
        <w:ind w:hanging="360"/>
        <w:jc w:val="both"/>
      </w:pPr>
      <w:r w:rsidRPr="009A0C1E">
        <w:lastRenderedPageBreak/>
        <w:t>Coordinate and manage projects in terms of process, management and delivery</w:t>
      </w:r>
      <w:r w:rsidRPr="009A0C1E">
        <w:rPr>
          <w:rFonts w:eastAsia="Arial"/>
        </w:rPr>
        <w:t xml:space="preserve"> </w:t>
      </w:r>
      <w:r w:rsidRPr="009A0C1E">
        <w:t>towards achieving policy outcomes.</w:t>
      </w:r>
    </w:p>
    <w:p w14:paraId="3B585363" w14:textId="77777777" w:rsidR="009A0C1E" w:rsidRPr="009A0C1E" w:rsidRDefault="009A0C1E" w:rsidP="00C72ED1">
      <w:pPr>
        <w:numPr>
          <w:ilvl w:val="0"/>
          <w:numId w:val="19"/>
        </w:numPr>
        <w:spacing w:after="264" w:line="251" w:lineRule="auto"/>
        <w:ind w:hanging="360"/>
        <w:jc w:val="both"/>
      </w:pPr>
      <w:r w:rsidRPr="009A0C1E">
        <w:t>Monitor project performance against agreed indicators. Share lessons learnt from</w:t>
      </w:r>
      <w:r w:rsidRPr="009A0C1E">
        <w:rPr>
          <w:rFonts w:eastAsia="Arial"/>
        </w:rPr>
        <w:t xml:space="preserve"> </w:t>
      </w:r>
      <w:r w:rsidRPr="009A0C1E">
        <w:t>project evaluation</w:t>
      </w:r>
      <w:r w:rsidRPr="009A0C1E">
        <w:rPr>
          <w:rFonts w:eastAsia="Arial"/>
        </w:rPr>
        <w:t>.</w:t>
      </w:r>
    </w:p>
    <w:p w14:paraId="4683C772" w14:textId="77777777" w:rsidR="009A0C1E" w:rsidRPr="009A0C1E" w:rsidRDefault="009A0C1E" w:rsidP="00C72ED1">
      <w:pPr>
        <w:pStyle w:val="Heading1"/>
        <w:jc w:val="both"/>
        <w:rPr>
          <w:color w:val="auto"/>
          <w:sz w:val="24"/>
          <w:szCs w:val="24"/>
        </w:rPr>
      </w:pPr>
      <w:r w:rsidRPr="009A0C1E">
        <w:rPr>
          <w:rFonts w:eastAsia="Arial" w:cs="Arial"/>
          <w:color w:val="auto"/>
          <w:sz w:val="24"/>
          <w:szCs w:val="24"/>
        </w:rPr>
        <w:t xml:space="preserve">Audit and </w:t>
      </w:r>
      <w:r w:rsidRPr="009A0C1E">
        <w:rPr>
          <w:color w:val="auto"/>
          <w:sz w:val="24"/>
          <w:szCs w:val="24"/>
        </w:rPr>
        <w:t xml:space="preserve">Risk Management </w:t>
      </w:r>
    </w:p>
    <w:p w14:paraId="48872905" w14:textId="77777777" w:rsidR="009A0C1E" w:rsidRPr="009A0C1E" w:rsidRDefault="009A0C1E" w:rsidP="00C72ED1">
      <w:pPr>
        <w:numPr>
          <w:ilvl w:val="0"/>
          <w:numId w:val="20"/>
        </w:numPr>
        <w:spacing w:after="25" w:line="251" w:lineRule="auto"/>
        <w:ind w:hanging="360"/>
        <w:jc w:val="both"/>
      </w:pPr>
      <w:r w:rsidRPr="009A0C1E">
        <w:t>Undertake review and evaluation of the Department’s Risk Management Framework,</w:t>
      </w:r>
      <w:r w:rsidRPr="009A0C1E">
        <w:rPr>
          <w:rFonts w:eastAsia="Arial"/>
        </w:rPr>
        <w:t xml:space="preserve"> </w:t>
      </w:r>
      <w:r w:rsidRPr="009A0C1E">
        <w:t>ensuring alignment with best practice and compliance with ISO 31000:2018 Risk</w:t>
      </w:r>
      <w:r w:rsidRPr="009A0C1E">
        <w:rPr>
          <w:rFonts w:eastAsia="Arial"/>
        </w:rPr>
        <w:t xml:space="preserve"> </w:t>
      </w:r>
      <w:r w:rsidRPr="009A0C1E">
        <w:t>Management - Principles and Guidelines, Public Sector Commission Circulars,</w:t>
      </w:r>
      <w:r w:rsidRPr="009A0C1E">
        <w:rPr>
          <w:rFonts w:eastAsia="Arial"/>
        </w:rPr>
        <w:t xml:space="preserve"> </w:t>
      </w:r>
      <w:r w:rsidRPr="009A0C1E">
        <w:t>Treasurer’s Instructions and other Statutory Instruments governing the Western</w:t>
      </w:r>
      <w:r w:rsidRPr="009A0C1E">
        <w:rPr>
          <w:rFonts w:eastAsia="Arial"/>
        </w:rPr>
        <w:t xml:space="preserve"> </w:t>
      </w:r>
      <w:r w:rsidRPr="009A0C1E">
        <w:t>Australia Public Sector.</w:t>
      </w:r>
    </w:p>
    <w:p w14:paraId="043D7F09" w14:textId="77777777" w:rsidR="009A0C1E" w:rsidRPr="009A0C1E" w:rsidRDefault="009A0C1E" w:rsidP="00C72ED1">
      <w:pPr>
        <w:numPr>
          <w:ilvl w:val="0"/>
          <w:numId w:val="20"/>
        </w:numPr>
        <w:spacing w:after="28" w:line="246" w:lineRule="auto"/>
        <w:ind w:hanging="360"/>
        <w:jc w:val="both"/>
      </w:pPr>
      <w:r w:rsidRPr="009A0C1E">
        <w:rPr>
          <w:rFonts w:eastAsia="Arial"/>
        </w:rPr>
        <w:t>Coordinate and support the Audit and Risk Lead in delivering audits and managing findings.</w:t>
      </w:r>
    </w:p>
    <w:p w14:paraId="463F240E" w14:textId="77777777" w:rsidR="009A0C1E" w:rsidRPr="009A0C1E" w:rsidRDefault="009A0C1E" w:rsidP="00C72ED1">
      <w:pPr>
        <w:numPr>
          <w:ilvl w:val="0"/>
          <w:numId w:val="20"/>
        </w:numPr>
        <w:spacing w:after="25" w:line="251" w:lineRule="auto"/>
        <w:ind w:hanging="360"/>
        <w:jc w:val="both"/>
      </w:pPr>
      <w:r w:rsidRPr="009A0C1E">
        <w:t>Contribute to the development and implementation of the Department’s Risk</w:t>
      </w:r>
      <w:r w:rsidRPr="009A0C1E">
        <w:rPr>
          <w:rFonts w:eastAsia="Arial"/>
        </w:rPr>
        <w:t xml:space="preserve"> </w:t>
      </w:r>
      <w:r w:rsidRPr="009A0C1E">
        <w:t>Register.</w:t>
      </w:r>
    </w:p>
    <w:p w14:paraId="7F57183B" w14:textId="1EBF8E4D" w:rsidR="009A0C1E" w:rsidRPr="009A0C1E" w:rsidRDefault="009A0C1E" w:rsidP="00C72ED1">
      <w:pPr>
        <w:numPr>
          <w:ilvl w:val="0"/>
          <w:numId w:val="20"/>
        </w:numPr>
        <w:spacing w:after="25" w:line="251" w:lineRule="auto"/>
        <w:ind w:hanging="360"/>
        <w:jc w:val="both"/>
      </w:pPr>
      <w:r w:rsidRPr="009A0C1E">
        <w:t xml:space="preserve">Undertake research and </w:t>
      </w:r>
      <w:r w:rsidR="00C72ED1" w:rsidRPr="009A0C1E">
        <w:t>analysis and</w:t>
      </w:r>
      <w:r w:rsidRPr="009A0C1E">
        <w:t xml:space="preserve"> consults with internal stakeholders to identify</w:t>
      </w:r>
      <w:r w:rsidRPr="009A0C1E">
        <w:rPr>
          <w:rFonts w:eastAsia="Arial"/>
        </w:rPr>
        <w:t xml:space="preserve"> </w:t>
      </w:r>
      <w:r w:rsidRPr="009A0C1E">
        <w:t>and mitigate key operational and project risks across the Department.</w:t>
      </w:r>
    </w:p>
    <w:p w14:paraId="4B4985E5" w14:textId="77777777" w:rsidR="009A0C1E" w:rsidRPr="009A0C1E" w:rsidRDefault="009A0C1E" w:rsidP="00C72ED1">
      <w:pPr>
        <w:numPr>
          <w:ilvl w:val="0"/>
          <w:numId w:val="20"/>
        </w:numPr>
        <w:spacing w:after="25" w:line="251" w:lineRule="auto"/>
        <w:ind w:hanging="360"/>
        <w:jc w:val="both"/>
      </w:pPr>
      <w:r w:rsidRPr="009A0C1E">
        <w:t xml:space="preserve">In consultation with the </w:t>
      </w:r>
      <w:r w:rsidRPr="009A0C1E">
        <w:rPr>
          <w:rFonts w:eastAsia="Arial"/>
        </w:rPr>
        <w:t>Audit and Risk Lead</w:t>
      </w:r>
      <w:r w:rsidRPr="009A0C1E">
        <w:t>, undertake the</w:t>
      </w:r>
      <w:r w:rsidRPr="009A0C1E">
        <w:rPr>
          <w:rFonts w:eastAsia="Arial"/>
        </w:rPr>
        <w:t xml:space="preserve"> management</w:t>
      </w:r>
      <w:r w:rsidRPr="009A0C1E">
        <w:t xml:space="preserve"> of a risk, audit and performance management system.</w:t>
      </w:r>
    </w:p>
    <w:p w14:paraId="5EA282C6" w14:textId="77777777" w:rsidR="009A0C1E" w:rsidRPr="009A0C1E" w:rsidRDefault="009A0C1E" w:rsidP="00C72ED1">
      <w:pPr>
        <w:numPr>
          <w:ilvl w:val="0"/>
          <w:numId w:val="20"/>
        </w:numPr>
        <w:spacing w:after="25" w:line="251" w:lineRule="auto"/>
        <w:ind w:hanging="360"/>
        <w:jc w:val="both"/>
      </w:pPr>
      <w:r w:rsidRPr="009A0C1E">
        <w:t>Develop and deliver risk education and training programs and workshops within the</w:t>
      </w:r>
      <w:r w:rsidRPr="009A0C1E">
        <w:rPr>
          <w:rFonts w:eastAsia="Arial"/>
        </w:rPr>
        <w:t xml:space="preserve"> </w:t>
      </w:r>
      <w:r w:rsidRPr="009A0C1E">
        <w:t>Department, including the roll-out of the risk audit and governance management</w:t>
      </w:r>
      <w:r w:rsidRPr="009A0C1E">
        <w:rPr>
          <w:rFonts w:eastAsia="Arial"/>
        </w:rPr>
        <w:t xml:space="preserve"> </w:t>
      </w:r>
      <w:r w:rsidRPr="009A0C1E">
        <w:t>system across the Department.</w:t>
      </w:r>
    </w:p>
    <w:p w14:paraId="1B7FC4F1" w14:textId="77777777" w:rsidR="009A0C1E" w:rsidRPr="009A0C1E" w:rsidRDefault="009A0C1E" w:rsidP="00C72ED1">
      <w:pPr>
        <w:numPr>
          <w:ilvl w:val="0"/>
          <w:numId w:val="20"/>
        </w:numPr>
        <w:spacing w:after="25" w:line="251" w:lineRule="auto"/>
        <w:ind w:hanging="360"/>
        <w:jc w:val="both"/>
      </w:pPr>
      <w:r w:rsidRPr="009A0C1E">
        <w:t>Identify, review, analyse and monitor agency risk management issues and trends,</w:t>
      </w:r>
      <w:r w:rsidRPr="009A0C1E">
        <w:rPr>
          <w:rFonts w:eastAsia="Arial"/>
        </w:rPr>
        <w:t xml:space="preserve"> </w:t>
      </w:r>
      <w:r w:rsidRPr="009A0C1E">
        <w:t>including compliance issues and prepared reports for management and the Corporate</w:t>
      </w:r>
      <w:r w:rsidRPr="009A0C1E">
        <w:rPr>
          <w:rFonts w:eastAsia="Arial"/>
        </w:rPr>
        <w:t xml:space="preserve"> </w:t>
      </w:r>
      <w:r w:rsidRPr="009A0C1E">
        <w:t>Executive.</w:t>
      </w:r>
    </w:p>
    <w:p w14:paraId="0FB31151" w14:textId="77777777" w:rsidR="009A0C1E" w:rsidRPr="009A0C1E" w:rsidRDefault="009A0C1E" w:rsidP="00C72ED1">
      <w:pPr>
        <w:numPr>
          <w:ilvl w:val="0"/>
          <w:numId w:val="20"/>
        </w:numPr>
        <w:spacing w:after="0" w:line="251" w:lineRule="auto"/>
        <w:ind w:hanging="360"/>
        <w:jc w:val="both"/>
      </w:pPr>
      <w:r w:rsidRPr="009A0C1E">
        <w:t>Monitor and report on the progress of operational and risk action plans across the</w:t>
      </w:r>
      <w:r w:rsidRPr="009A0C1E">
        <w:rPr>
          <w:rFonts w:eastAsia="Arial"/>
        </w:rPr>
        <w:t xml:space="preserve"> </w:t>
      </w:r>
      <w:r w:rsidRPr="009A0C1E">
        <w:t>Department and liaises with key stakeholders to ensure accurate and timely reporting.</w:t>
      </w:r>
    </w:p>
    <w:p w14:paraId="63AC1A01" w14:textId="77777777" w:rsidR="009A0C1E" w:rsidRPr="009A0C1E" w:rsidRDefault="009A0C1E" w:rsidP="00C72ED1">
      <w:pPr>
        <w:pStyle w:val="Heading1"/>
        <w:jc w:val="both"/>
        <w:rPr>
          <w:color w:val="auto"/>
          <w:sz w:val="24"/>
          <w:szCs w:val="24"/>
        </w:rPr>
      </w:pPr>
      <w:r w:rsidRPr="009A0C1E">
        <w:rPr>
          <w:color w:val="auto"/>
          <w:sz w:val="24"/>
          <w:szCs w:val="24"/>
        </w:rPr>
        <w:t xml:space="preserve">Strategic Alignment </w:t>
      </w:r>
    </w:p>
    <w:p w14:paraId="5C6E8070" w14:textId="77777777" w:rsidR="009A0C1E" w:rsidRPr="009A0C1E" w:rsidRDefault="009A0C1E" w:rsidP="00C72ED1">
      <w:pPr>
        <w:numPr>
          <w:ilvl w:val="0"/>
          <w:numId w:val="21"/>
        </w:numPr>
        <w:spacing w:after="25" w:line="251" w:lineRule="auto"/>
        <w:ind w:hanging="360"/>
        <w:jc w:val="both"/>
      </w:pPr>
      <w:r w:rsidRPr="009A0C1E">
        <w:t>Research and interpret best practices across jurisdictions and the public sector in the development of corporate governance and risk management policy and procedures.</w:t>
      </w:r>
    </w:p>
    <w:p w14:paraId="16422DFE" w14:textId="77777777" w:rsidR="009A0C1E" w:rsidRPr="009A0C1E" w:rsidRDefault="009A0C1E" w:rsidP="00C72ED1">
      <w:pPr>
        <w:numPr>
          <w:ilvl w:val="0"/>
          <w:numId w:val="21"/>
        </w:numPr>
        <w:spacing w:after="25" w:line="251" w:lineRule="auto"/>
        <w:ind w:hanging="360"/>
        <w:jc w:val="both"/>
      </w:pPr>
      <w:r w:rsidRPr="009A0C1E">
        <w:t>Contribute to the Department’s strategic management and business planning processes, ensuring the process for managing risks is integrated with strategic planning and management.</w:t>
      </w:r>
    </w:p>
    <w:p w14:paraId="03EB32EF" w14:textId="77777777" w:rsidR="009A0C1E" w:rsidRPr="009A0C1E" w:rsidRDefault="009A0C1E" w:rsidP="00C72ED1">
      <w:pPr>
        <w:numPr>
          <w:ilvl w:val="0"/>
          <w:numId w:val="21"/>
        </w:numPr>
        <w:spacing w:after="25" w:line="251" w:lineRule="auto"/>
        <w:ind w:hanging="360"/>
        <w:jc w:val="both"/>
      </w:pPr>
      <w:r w:rsidRPr="009A0C1E">
        <w:t>Provide support in the delivery and implementation of projects, including oversight of the Business Continuity Plan.</w:t>
      </w:r>
    </w:p>
    <w:p w14:paraId="710D9D24" w14:textId="77777777" w:rsidR="009A0C1E" w:rsidRPr="009A0C1E" w:rsidRDefault="009A0C1E" w:rsidP="00C72ED1">
      <w:pPr>
        <w:numPr>
          <w:ilvl w:val="0"/>
          <w:numId w:val="21"/>
        </w:numPr>
        <w:spacing w:after="25" w:line="251" w:lineRule="auto"/>
        <w:ind w:hanging="360"/>
        <w:jc w:val="both"/>
      </w:pPr>
      <w:r w:rsidRPr="009A0C1E">
        <w:t>Provide support in the development, implementation and oversight of the Department’s corporate governance function, including in relation to external accountability requirements.</w:t>
      </w:r>
    </w:p>
    <w:p w14:paraId="32524F43" w14:textId="77777777" w:rsidR="009A0C1E" w:rsidRPr="009A0C1E" w:rsidRDefault="009A0C1E" w:rsidP="00C72ED1">
      <w:pPr>
        <w:numPr>
          <w:ilvl w:val="0"/>
          <w:numId w:val="21"/>
        </w:numPr>
        <w:spacing w:after="25" w:line="251" w:lineRule="auto"/>
        <w:ind w:hanging="360"/>
        <w:jc w:val="both"/>
      </w:pPr>
      <w:r w:rsidRPr="009A0C1E">
        <w:t>Assist in developing and co-ordinating the Department’s annual planning cycle.</w:t>
      </w:r>
    </w:p>
    <w:p w14:paraId="1AB78772" w14:textId="77777777" w:rsidR="009A0C1E" w:rsidRPr="009A0C1E" w:rsidRDefault="009A0C1E" w:rsidP="00C72ED1">
      <w:pPr>
        <w:numPr>
          <w:ilvl w:val="0"/>
          <w:numId w:val="21"/>
        </w:numPr>
        <w:spacing w:after="25" w:line="251" w:lineRule="auto"/>
        <w:ind w:hanging="360"/>
        <w:jc w:val="both"/>
      </w:pPr>
      <w:r w:rsidRPr="009A0C1E">
        <w:t>Understand and can apply knowledge of government and its components.</w:t>
      </w:r>
    </w:p>
    <w:p w14:paraId="0DD3EC8B" w14:textId="77777777" w:rsidR="009A0C1E" w:rsidRPr="009A0C1E" w:rsidRDefault="009A0C1E" w:rsidP="00C72ED1">
      <w:pPr>
        <w:numPr>
          <w:ilvl w:val="0"/>
          <w:numId w:val="21"/>
        </w:numPr>
        <w:spacing w:after="25" w:line="251" w:lineRule="auto"/>
        <w:ind w:hanging="360"/>
        <w:jc w:val="both"/>
      </w:pPr>
      <w:r w:rsidRPr="009A0C1E">
        <w:t>Contributes to corporate governance policy development.</w:t>
      </w:r>
    </w:p>
    <w:p w14:paraId="162658F4" w14:textId="77777777" w:rsidR="009A0C1E" w:rsidRPr="009A0C1E" w:rsidRDefault="009A0C1E" w:rsidP="00C72ED1">
      <w:pPr>
        <w:numPr>
          <w:ilvl w:val="0"/>
          <w:numId w:val="21"/>
        </w:numPr>
        <w:spacing w:after="25" w:line="251" w:lineRule="auto"/>
        <w:ind w:hanging="360"/>
        <w:jc w:val="both"/>
      </w:pPr>
      <w:r w:rsidRPr="009A0C1E">
        <w:t>Understand the role, accountabilities and obligations of public sector employees.</w:t>
      </w:r>
    </w:p>
    <w:p w14:paraId="582F54EB" w14:textId="77777777" w:rsidR="009A0C1E" w:rsidRPr="009A0C1E" w:rsidRDefault="009A0C1E" w:rsidP="00C72ED1">
      <w:pPr>
        <w:numPr>
          <w:ilvl w:val="0"/>
          <w:numId w:val="21"/>
        </w:numPr>
        <w:spacing w:after="25" w:line="251" w:lineRule="auto"/>
        <w:ind w:hanging="360"/>
        <w:jc w:val="both"/>
      </w:pPr>
      <w:r w:rsidRPr="009A0C1E">
        <w:t>Understand the political framework and interpret existing legislation and policy.</w:t>
      </w:r>
    </w:p>
    <w:p w14:paraId="2AD991C4" w14:textId="77777777" w:rsidR="009A0C1E" w:rsidRPr="009A0C1E" w:rsidRDefault="009A0C1E" w:rsidP="00C72ED1">
      <w:pPr>
        <w:numPr>
          <w:ilvl w:val="0"/>
          <w:numId w:val="21"/>
        </w:numPr>
        <w:spacing w:after="223" w:line="251" w:lineRule="auto"/>
        <w:ind w:hanging="360"/>
        <w:jc w:val="both"/>
      </w:pPr>
      <w:r w:rsidRPr="009A0C1E">
        <w:t>Provide support and advice to corporate governance committees and working groups.</w:t>
      </w:r>
    </w:p>
    <w:p w14:paraId="77B9D03C" w14:textId="77777777" w:rsidR="009A0C1E" w:rsidRPr="009A0C1E" w:rsidRDefault="009A0C1E" w:rsidP="00C72ED1">
      <w:pPr>
        <w:pStyle w:val="Heading1"/>
        <w:jc w:val="both"/>
        <w:rPr>
          <w:color w:val="auto"/>
          <w:sz w:val="24"/>
          <w:szCs w:val="24"/>
        </w:rPr>
      </w:pPr>
      <w:r w:rsidRPr="009A0C1E">
        <w:rPr>
          <w:color w:val="auto"/>
          <w:sz w:val="24"/>
          <w:szCs w:val="24"/>
        </w:rPr>
        <w:lastRenderedPageBreak/>
        <w:t xml:space="preserve">Critical Thinking </w:t>
      </w:r>
    </w:p>
    <w:p w14:paraId="2E768B4E" w14:textId="77777777" w:rsidR="009A0C1E" w:rsidRPr="009A0C1E" w:rsidRDefault="009A0C1E" w:rsidP="00C72ED1">
      <w:pPr>
        <w:numPr>
          <w:ilvl w:val="0"/>
          <w:numId w:val="22"/>
        </w:numPr>
        <w:spacing w:after="25" w:line="251" w:lineRule="auto"/>
        <w:ind w:right="99" w:hanging="360"/>
        <w:jc w:val="both"/>
      </w:pPr>
      <w:r w:rsidRPr="009A0C1E">
        <w:t>Understand and apply research methodologies in developing corporate governance policy options.  Define the scope of the problem and identify whether the approach will achieve the required outcomes.</w:t>
      </w:r>
    </w:p>
    <w:p w14:paraId="14CAEC68" w14:textId="77777777" w:rsidR="009A0C1E" w:rsidRPr="009A0C1E" w:rsidRDefault="009A0C1E" w:rsidP="00C72ED1">
      <w:pPr>
        <w:numPr>
          <w:ilvl w:val="0"/>
          <w:numId w:val="22"/>
        </w:numPr>
        <w:spacing w:after="29" w:line="248" w:lineRule="auto"/>
        <w:ind w:right="99" w:hanging="360"/>
        <w:jc w:val="both"/>
      </w:pPr>
      <w:r w:rsidRPr="009A0C1E">
        <w:t>Interpret information gathered from a variety of sources for the current corporate governance agenda. Evaluate the integrity and comparability of sources. Identify gaps.</w:t>
      </w:r>
    </w:p>
    <w:p w14:paraId="47DC06AE" w14:textId="77777777" w:rsidR="009A0C1E" w:rsidRPr="009A0C1E" w:rsidRDefault="009A0C1E" w:rsidP="00C72ED1">
      <w:pPr>
        <w:numPr>
          <w:ilvl w:val="0"/>
          <w:numId w:val="22"/>
        </w:numPr>
        <w:spacing w:after="265" w:line="251" w:lineRule="auto"/>
        <w:ind w:right="99" w:hanging="360"/>
        <w:jc w:val="both"/>
      </w:pPr>
      <w:r w:rsidRPr="009A0C1E">
        <w:t>Recommend/advise of changes to functions and processes based on performance reviews and assists in monitoring the implementation of changes as a result of performance reviews recommendations.</w:t>
      </w:r>
    </w:p>
    <w:p w14:paraId="5EF92431" w14:textId="77777777" w:rsidR="009A0C1E" w:rsidRPr="009A0C1E" w:rsidRDefault="009A0C1E" w:rsidP="00C72ED1">
      <w:pPr>
        <w:pStyle w:val="Heading1"/>
        <w:jc w:val="both"/>
        <w:rPr>
          <w:color w:val="auto"/>
          <w:sz w:val="24"/>
          <w:szCs w:val="24"/>
        </w:rPr>
      </w:pPr>
      <w:r w:rsidRPr="009A0C1E">
        <w:rPr>
          <w:color w:val="auto"/>
          <w:sz w:val="24"/>
          <w:szCs w:val="24"/>
        </w:rPr>
        <w:t xml:space="preserve">Communication and Engagement </w:t>
      </w:r>
    </w:p>
    <w:p w14:paraId="16EE439F" w14:textId="77777777" w:rsidR="009A0C1E" w:rsidRPr="009A0C1E" w:rsidRDefault="009A0C1E" w:rsidP="00C72ED1">
      <w:pPr>
        <w:numPr>
          <w:ilvl w:val="0"/>
          <w:numId w:val="23"/>
        </w:numPr>
        <w:spacing w:after="25" w:line="251" w:lineRule="auto"/>
        <w:ind w:hanging="360"/>
        <w:jc w:val="both"/>
      </w:pPr>
      <w:r w:rsidRPr="009A0C1E">
        <w:t>Liaise with staff and stakeholders involved in project delivery to identify issues and possible options.</w:t>
      </w:r>
    </w:p>
    <w:p w14:paraId="4DA4D9BE" w14:textId="77777777" w:rsidR="009A0C1E" w:rsidRPr="009A0C1E" w:rsidRDefault="009A0C1E" w:rsidP="00C72ED1">
      <w:pPr>
        <w:numPr>
          <w:ilvl w:val="0"/>
          <w:numId w:val="23"/>
        </w:numPr>
        <w:spacing w:after="25" w:line="251" w:lineRule="auto"/>
        <w:ind w:hanging="360"/>
        <w:jc w:val="both"/>
      </w:pPr>
      <w:r w:rsidRPr="009A0C1E">
        <w:t>Develop and communicate key arguments clearly (verbal and written).</w:t>
      </w:r>
    </w:p>
    <w:p w14:paraId="48422397" w14:textId="77777777" w:rsidR="009A0C1E" w:rsidRPr="009A0C1E" w:rsidRDefault="009A0C1E" w:rsidP="00C72ED1">
      <w:pPr>
        <w:numPr>
          <w:ilvl w:val="0"/>
          <w:numId w:val="23"/>
        </w:numPr>
        <w:spacing w:after="25" w:line="251" w:lineRule="auto"/>
        <w:ind w:hanging="360"/>
        <w:jc w:val="both"/>
      </w:pPr>
      <w:r w:rsidRPr="009A0C1E">
        <w:t>Assess preferred project options based on reliable evidence to enable key people to make and defend decisions.</w:t>
      </w:r>
    </w:p>
    <w:p w14:paraId="2C5C4255" w14:textId="77777777" w:rsidR="009A0C1E" w:rsidRPr="009A0C1E" w:rsidRDefault="009A0C1E" w:rsidP="00C72ED1">
      <w:pPr>
        <w:numPr>
          <w:ilvl w:val="0"/>
          <w:numId w:val="23"/>
        </w:numPr>
        <w:spacing w:after="25" w:line="251" w:lineRule="auto"/>
        <w:ind w:hanging="360"/>
        <w:jc w:val="both"/>
      </w:pPr>
      <w:r w:rsidRPr="009A0C1E">
        <w:t>Understand the legislative implications for corporate governance policy delivery. Adapt proposals to ensure the selected option will work in practice based on stakeholder feedback and concerns.</w:t>
      </w:r>
    </w:p>
    <w:p w14:paraId="6A696EA0" w14:textId="77777777" w:rsidR="009A0C1E" w:rsidRPr="009A0C1E" w:rsidRDefault="009A0C1E" w:rsidP="00C72ED1">
      <w:pPr>
        <w:numPr>
          <w:ilvl w:val="0"/>
          <w:numId w:val="23"/>
        </w:numPr>
        <w:spacing w:after="25" w:line="251" w:lineRule="auto"/>
        <w:ind w:hanging="360"/>
        <w:jc w:val="both"/>
      </w:pPr>
      <w:r w:rsidRPr="009A0C1E">
        <w:t>Provides advice to all levels of officers and management in relation to risk management.</w:t>
      </w:r>
    </w:p>
    <w:p w14:paraId="69C5CF5B" w14:textId="77777777" w:rsidR="009A0C1E" w:rsidRPr="009A0C1E" w:rsidRDefault="009A0C1E" w:rsidP="00C72ED1">
      <w:pPr>
        <w:numPr>
          <w:ilvl w:val="0"/>
          <w:numId w:val="23"/>
        </w:numPr>
        <w:spacing w:after="25" w:line="251" w:lineRule="auto"/>
        <w:ind w:hanging="360"/>
        <w:jc w:val="both"/>
      </w:pPr>
      <w:r w:rsidRPr="009A0C1E">
        <w:t>Monitors and reviews the Department’s management and corporate achievements against operational plans, including the compilation of outcome indicators and reports as required.</w:t>
      </w:r>
    </w:p>
    <w:p w14:paraId="64B0D117" w14:textId="77777777" w:rsidR="009A0C1E" w:rsidRPr="009A0C1E" w:rsidRDefault="009A0C1E" w:rsidP="00C72ED1">
      <w:pPr>
        <w:numPr>
          <w:ilvl w:val="0"/>
          <w:numId w:val="23"/>
        </w:numPr>
        <w:spacing w:after="25" w:line="251" w:lineRule="auto"/>
        <w:ind w:hanging="360"/>
        <w:jc w:val="both"/>
      </w:pPr>
      <w:r w:rsidRPr="009A0C1E">
        <w:t>Maintains awareness of contemporary practices and trends relating to risk management and governance.</w:t>
      </w:r>
    </w:p>
    <w:p w14:paraId="6E5242EF" w14:textId="77777777" w:rsidR="009A0C1E" w:rsidRPr="009A0C1E" w:rsidRDefault="009A0C1E" w:rsidP="00C72ED1">
      <w:pPr>
        <w:numPr>
          <w:ilvl w:val="0"/>
          <w:numId w:val="23"/>
        </w:numPr>
        <w:spacing w:after="348" w:line="251" w:lineRule="auto"/>
        <w:ind w:hanging="360"/>
        <w:jc w:val="both"/>
      </w:pPr>
      <w:r w:rsidRPr="009A0C1E">
        <w:t>Provides advice in a consistent and timely manner on trends that may affect the Department as a whole.</w:t>
      </w:r>
    </w:p>
    <w:p w14:paraId="32AF7670" w14:textId="3FD4712F" w:rsidR="00756536" w:rsidRPr="00070651" w:rsidRDefault="00F167A5" w:rsidP="00C72ED1">
      <w:pPr>
        <w:pStyle w:val="Heading2"/>
        <w:jc w:val="both"/>
        <w:rPr>
          <w:sz w:val="24"/>
          <w:szCs w:val="24"/>
        </w:rPr>
      </w:pPr>
      <w:r>
        <w:rPr>
          <w:sz w:val="24"/>
          <w:szCs w:val="24"/>
        </w:rPr>
        <w:t>Corporate</w:t>
      </w:r>
      <w:r w:rsidR="004A4EC3" w:rsidRPr="00070651">
        <w:rPr>
          <w:sz w:val="24"/>
          <w:szCs w:val="24"/>
        </w:rPr>
        <w:t xml:space="preserve"> </w:t>
      </w:r>
      <w:r w:rsidR="00756536" w:rsidRPr="00070651">
        <w:rPr>
          <w:sz w:val="24"/>
          <w:szCs w:val="24"/>
        </w:rPr>
        <w:t>Responsibilities</w:t>
      </w:r>
    </w:p>
    <w:p w14:paraId="2C021AC5" w14:textId="77777777" w:rsidR="00F167A5" w:rsidRPr="00796E74" w:rsidRDefault="00F167A5" w:rsidP="00C72ED1">
      <w:pPr>
        <w:pStyle w:val="ListParagraph"/>
        <w:numPr>
          <w:ilvl w:val="0"/>
          <w:numId w:val="18"/>
        </w:numPr>
        <w:ind w:left="360" w:hanging="360"/>
        <w:jc w:val="both"/>
        <w:rPr>
          <w:color w:val="auto"/>
          <w:szCs w:val="24"/>
        </w:rPr>
      </w:pPr>
      <w:r w:rsidRPr="00796E74">
        <w:rPr>
          <w:color w:val="auto"/>
          <w:szCs w:val="24"/>
        </w:rPr>
        <w:t>Exhibits accountability, professional integrity and respect consistent with DPC Values, the Code of Conduct, and the public sector Code of Ethics.</w:t>
      </w:r>
    </w:p>
    <w:p w14:paraId="67C9CBAC" w14:textId="77777777" w:rsidR="00F167A5" w:rsidRDefault="00F167A5" w:rsidP="00C72ED1">
      <w:pPr>
        <w:pStyle w:val="ListParagraph"/>
        <w:numPr>
          <w:ilvl w:val="0"/>
          <w:numId w:val="18"/>
        </w:numPr>
        <w:ind w:left="360" w:hanging="360"/>
        <w:jc w:val="both"/>
        <w:rPr>
          <w:color w:val="auto"/>
          <w:szCs w:val="24"/>
        </w:rPr>
      </w:pPr>
      <w:r w:rsidRPr="00405858">
        <w:rPr>
          <w:color w:val="auto"/>
          <w:szCs w:val="24"/>
        </w:rPr>
        <w:t xml:space="preserve">Takes reasonable care to protect your own safety and health at work, and that of others by co-operating with the safety and health policies and procedures of the Department and complying with all provisions of the </w:t>
      </w:r>
      <w:r w:rsidRPr="00A972A4">
        <w:rPr>
          <w:i/>
          <w:iCs/>
          <w:color w:val="auto"/>
          <w:szCs w:val="24"/>
        </w:rPr>
        <w:t>Work Health and Safety Act 2020</w:t>
      </w:r>
    </w:p>
    <w:p w14:paraId="43976E59" w14:textId="77777777" w:rsidR="00F167A5" w:rsidRDefault="00F167A5" w:rsidP="00C72ED1">
      <w:pPr>
        <w:pStyle w:val="ListParagraph"/>
        <w:numPr>
          <w:ilvl w:val="0"/>
          <w:numId w:val="18"/>
        </w:numPr>
        <w:ind w:left="360" w:hanging="360"/>
        <w:jc w:val="both"/>
        <w:rPr>
          <w:color w:val="auto"/>
          <w:szCs w:val="24"/>
        </w:rPr>
      </w:pPr>
      <w:r w:rsidRPr="0098212A">
        <w:rPr>
          <w:color w:val="auto"/>
          <w:szCs w:val="24"/>
        </w:rPr>
        <w:t>Undertakes other duties as required.</w:t>
      </w:r>
    </w:p>
    <w:p w14:paraId="0CFFA4BE" w14:textId="77777777" w:rsidR="009A0C1E" w:rsidRPr="009A0C1E" w:rsidRDefault="009A0C1E" w:rsidP="00C72ED1">
      <w:pPr>
        <w:pStyle w:val="Heading2"/>
        <w:jc w:val="both"/>
        <w:rPr>
          <w:sz w:val="24"/>
          <w:szCs w:val="24"/>
        </w:rPr>
      </w:pPr>
      <w:r w:rsidRPr="009A0C1E">
        <w:rPr>
          <w:sz w:val="24"/>
          <w:szCs w:val="24"/>
        </w:rPr>
        <w:t xml:space="preserve">Building Leadership Impact </w:t>
      </w:r>
    </w:p>
    <w:p w14:paraId="465FCCA3" w14:textId="45BFF380" w:rsidR="009A0C1E" w:rsidRPr="009A0C1E" w:rsidRDefault="009A0C1E" w:rsidP="00C72ED1">
      <w:pPr>
        <w:spacing w:after="161" w:line="248" w:lineRule="auto"/>
        <w:ind w:right="14" w:hanging="10"/>
        <w:jc w:val="both"/>
      </w:pPr>
      <w:r>
        <w:t xml:space="preserve">We consider all our people as leaders. We believe leadership to be critical to the success of the Department and the public sector and, to support this, we have adopted </w:t>
      </w:r>
      <w:hyperlink r:id="rId11">
        <w:r w:rsidRPr="009A0C1E">
          <w:rPr>
            <w:rFonts w:eastAsia="Calibri"/>
          </w:rPr>
          <w:t>Leadership Expectations</w:t>
        </w:r>
      </w:hyperlink>
      <w:r>
        <w:t>.</w:t>
      </w:r>
      <w:hyperlink r:id="rId12">
        <w:r w:rsidRPr="009A0C1E">
          <w:t xml:space="preserve"> </w:t>
        </w:r>
      </w:hyperlink>
    </w:p>
    <w:p w14:paraId="643A6B38" w14:textId="77777777" w:rsidR="009A0C1E" w:rsidRDefault="009A0C1E" w:rsidP="00C72ED1">
      <w:pPr>
        <w:ind w:left="16"/>
        <w:jc w:val="both"/>
      </w:pPr>
      <w:r w:rsidRPr="009A0C1E">
        <w:t xml:space="preserve">This role operates in  the </w:t>
      </w:r>
      <w:hyperlink r:id="rId13">
        <w:r w:rsidRPr="009A0C1E">
          <w:t>Personal Leadership</w:t>
        </w:r>
      </w:hyperlink>
      <w:hyperlink r:id="rId14">
        <w:r w:rsidRPr="009A0C1E">
          <w:t xml:space="preserve"> </w:t>
        </w:r>
      </w:hyperlink>
      <w:r w:rsidRPr="009A0C1E">
        <w:t xml:space="preserve">context, where leadership is about </w:t>
      </w:r>
      <w:r>
        <w:t>motivating and enabling others to deliver high quality work that contributes to the agency.</w:t>
      </w:r>
      <w:r>
        <w:rPr>
          <w:sz w:val="22"/>
        </w:rPr>
        <w:t xml:space="preserve"> </w:t>
      </w:r>
    </w:p>
    <w:p w14:paraId="4610C919" w14:textId="77777777" w:rsidR="009A0C1E" w:rsidRPr="009A0C1E" w:rsidRDefault="009A0C1E" w:rsidP="00C72ED1">
      <w:pPr>
        <w:jc w:val="both"/>
      </w:pPr>
    </w:p>
    <w:p w14:paraId="53311947" w14:textId="18BEF484" w:rsidR="00B646FB" w:rsidRPr="00070651" w:rsidRDefault="007421AD" w:rsidP="00C72ED1">
      <w:pPr>
        <w:pStyle w:val="Heading2"/>
        <w:jc w:val="both"/>
        <w:rPr>
          <w:sz w:val="24"/>
          <w:szCs w:val="24"/>
        </w:rPr>
      </w:pPr>
      <w:r>
        <w:rPr>
          <w:sz w:val="24"/>
          <w:szCs w:val="24"/>
        </w:rPr>
        <w:lastRenderedPageBreak/>
        <w:t>Work Related Capabilities (Selection Criteria)</w:t>
      </w:r>
    </w:p>
    <w:p w14:paraId="3906FCF0" w14:textId="77777777" w:rsidR="00C72ED1" w:rsidRPr="00C72ED1" w:rsidRDefault="00C72ED1" w:rsidP="00C72ED1">
      <w:pPr>
        <w:numPr>
          <w:ilvl w:val="0"/>
          <w:numId w:val="25"/>
        </w:numPr>
        <w:jc w:val="both"/>
      </w:pPr>
      <w:r w:rsidRPr="00C72ED1">
        <w:t xml:space="preserve">Experience and knowledge of risk management, risk assessments and business continuity strategies and frameworks within a large and complex organisation. </w:t>
      </w:r>
    </w:p>
    <w:p w14:paraId="5C2251F0" w14:textId="77777777" w:rsidR="00C72ED1" w:rsidRPr="00C72ED1" w:rsidRDefault="00C72ED1" w:rsidP="00C72ED1">
      <w:pPr>
        <w:numPr>
          <w:ilvl w:val="0"/>
          <w:numId w:val="25"/>
        </w:numPr>
        <w:jc w:val="both"/>
      </w:pPr>
      <w:r w:rsidRPr="00C72ED1">
        <w:t xml:space="preserve">Demonstrated experience in auditing, evaluation techniques and management practices. </w:t>
      </w:r>
    </w:p>
    <w:p w14:paraId="2BAE3A5B" w14:textId="77777777" w:rsidR="00C72ED1" w:rsidRPr="00C72ED1" w:rsidRDefault="00C72ED1" w:rsidP="00C72ED1">
      <w:pPr>
        <w:numPr>
          <w:ilvl w:val="0"/>
          <w:numId w:val="25"/>
        </w:numPr>
        <w:jc w:val="both"/>
      </w:pPr>
      <w:r w:rsidRPr="00C72ED1">
        <w:t>Ability to develop, manage and maintain collaborative stakeholder relationships in a diverse environment to improve service delivery and manage expectations</w:t>
      </w:r>
    </w:p>
    <w:p w14:paraId="56018A8D" w14:textId="77777777" w:rsidR="00C72ED1" w:rsidRPr="00C72ED1" w:rsidRDefault="00C72ED1" w:rsidP="00C72ED1">
      <w:pPr>
        <w:numPr>
          <w:ilvl w:val="0"/>
          <w:numId w:val="25"/>
        </w:numPr>
        <w:jc w:val="both"/>
      </w:pPr>
      <w:r w:rsidRPr="00C72ED1">
        <w:t xml:space="preserve">Highly developed conceptual, research, analytical and problem-solving skills, including initiative and the ability to identify issues and remedies. </w:t>
      </w:r>
    </w:p>
    <w:p w14:paraId="142D26BB" w14:textId="77777777" w:rsidR="00C72ED1" w:rsidRPr="00C72ED1" w:rsidRDefault="00C72ED1" w:rsidP="00C72ED1">
      <w:pPr>
        <w:numPr>
          <w:ilvl w:val="0"/>
          <w:numId w:val="25"/>
        </w:numPr>
        <w:jc w:val="both"/>
      </w:pPr>
      <w:r w:rsidRPr="00C72ED1">
        <w:t>Ability to prepare presentations, written reports, briefing papers and educational material on complex matters for a range of audiences.</w:t>
      </w:r>
    </w:p>
    <w:p w14:paraId="268B2915" w14:textId="0D12B51B" w:rsidR="00631D31" w:rsidRPr="00D007E3" w:rsidRDefault="009514B1" w:rsidP="00C72ED1">
      <w:pPr>
        <w:jc w:val="both"/>
      </w:pPr>
      <w:r>
        <w:t>For permanent appointments y</w:t>
      </w:r>
      <w:r w:rsidR="00394896" w:rsidRPr="00070651">
        <w:t xml:space="preserve">ou must also be eligible to live and work in Australia indefinitely. </w:t>
      </w:r>
      <w:r w:rsidR="00631D31" w:rsidRPr="00D007E3">
        <w:t xml:space="preserve">Employees engaged on fixed term appointments </w:t>
      </w:r>
      <w:r w:rsidR="00AE1B75">
        <w:t>need</w:t>
      </w:r>
      <w:r w:rsidR="00AE1B75" w:rsidRPr="00D007E3">
        <w:t xml:space="preserve"> </w:t>
      </w:r>
      <w:r w:rsidR="00631D31" w:rsidRPr="00D007E3">
        <w:t>a valid work visa for the duration of the</w:t>
      </w:r>
      <w:r w:rsidR="00AE1B75">
        <w:t>ir</w:t>
      </w:r>
      <w:r w:rsidR="00631D31" w:rsidRPr="00D007E3">
        <w:t xml:space="preserve"> contract.</w:t>
      </w:r>
    </w:p>
    <w:p w14:paraId="276BE7AD" w14:textId="1787F454" w:rsidR="005A2701" w:rsidRPr="004A3655" w:rsidRDefault="00631D31" w:rsidP="00C72ED1">
      <w:pPr>
        <w:jc w:val="both"/>
      </w:pPr>
      <w:r w:rsidRPr="00D007E3">
        <w:t xml:space="preserve">Appointment is </w:t>
      </w:r>
      <w:r w:rsidR="00394896">
        <w:t xml:space="preserve">also </w:t>
      </w:r>
      <w:r w:rsidR="00AE1B75">
        <w:t xml:space="preserve">dependent on </w:t>
      </w:r>
      <w:r w:rsidR="00394896">
        <w:t xml:space="preserve">a </w:t>
      </w:r>
      <w:r w:rsidRPr="00D007E3">
        <w:t>100-point identification check and</w:t>
      </w:r>
      <w:r w:rsidR="00394896">
        <w:t xml:space="preserve"> </w:t>
      </w:r>
      <w:r w:rsidRPr="00D007E3">
        <w:t>Criminal Records Screening Clearance</w:t>
      </w:r>
      <w:r w:rsidR="00394896">
        <w:t>.</w:t>
      </w:r>
    </w:p>
    <w:p w14:paraId="6D4F21E1" w14:textId="483B5655" w:rsidR="005A2701" w:rsidRPr="00070651" w:rsidRDefault="005A2701" w:rsidP="00FF59CB">
      <w:pPr>
        <w:pStyle w:val="Heading1"/>
        <w:rPr>
          <w:sz w:val="24"/>
          <w:szCs w:val="24"/>
        </w:rPr>
      </w:pPr>
      <w:r w:rsidRPr="00070651">
        <w:rPr>
          <w:sz w:val="24"/>
          <w:szCs w:val="24"/>
        </w:rPr>
        <w:t>Certification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701"/>
        <w:gridCol w:w="3119"/>
        <w:gridCol w:w="1277"/>
      </w:tblGrid>
      <w:tr w:rsidR="005A2701" w:rsidRPr="005A2701" w14:paraId="1B760A90" w14:textId="77777777" w:rsidTr="006C1C4D">
        <w:trPr>
          <w:trHeight w:val="659"/>
        </w:trPr>
        <w:tc>
          <w:tcPr>
            <w:tcW w:w="3402" w:type="dxa"/>
          </w:tcPr>
          <w:p w14:paraId="6D4DECA5" w14:textId="001123AC" w:rsidR="005A2701" w:rsidRPr="00070651" w:rsidRDefault="006C1C4D" w:rsidP="0033476B">
            <w:pPr>
              <w:pStyle w:val="Heading3"/>
              <w:ind w:left="-113"/>
              <w:rPr>
                <w:sz w:val="24"/>
              </w:rPr>
            </w:pPr>
            <w:r w:rsidRPr="00070651">
              <w:rPr>
                <w:sz w:val="24"/>
              </w:rPr>
              <w:t>Authorising</w:t>
            </w:r>
            <w:r w:rsidR="005A2701" w:rsidRPr="00070651">
              <w:rPr>
                <w:sz w:val="24"/>
              </w:rPr>
              <w:t xml:space="preserve"> Signature:</w:t>
            </w:r>
          </w:p>
          <w:p w14:paraId="019B14E0" w14:textId="6641EEBA" w:rsidR="002F64E9" w:rsidRPr="00C201F1" w:rsidRDefault="002F64E9" w:rsidP="004B2309"/>
        </w:tc>
        <w:tc>
          <w:tcPr>
            <w:tcW w:w="1701" w:type="dxa"/>
          </w:tcPr>
          <w:p w14:paraId="68C4626E" w14:textId="77777777" w:rsidR="005A2701" w:rsidRDefault="005A2701" w:rsidP="005A2701">
            <w:pPr>
              <w:rPr>
                <w:rFonts w:ascii="Neue Haas Grotesk Text Pro" w:hAnsi="Neue Haas Grotesk Text Pro"/>
                <w:b/>
              </w:rPr>
            </w:pPr>
          </w:p>
          <w:p w14:paraId="357C8B40" w14:textId="77777777" w:rsidR="002F64E9" w:rsidRPr="005A2701" w:rsidRDefault="002F64E9" w:rsidP="005A2701">
            <w:pPr>
              <w:rPr>
                <w:rFonts w:ascii="Neue Haas Grotesk Text Pro" w:hAnsi="Neue Haas Grotesk Text Pro"/>
                <w:b/>
              </w:rPr>
            </w:pPr>
          </w:p>
        </w:tc>
        <w:tc>
          <w:tcPr>
            <w:tcW w:w="3119" w:type="dxa"/>
          </w:tcPr>
          <w:p w14:paraId="05F6E0BC" w14:textId="01287DA1" w:rsidR="005A2701" w:rsidRPr="00C47631" w:rsidRDefault="002F64E9" w:rsidP="00C47631">
            <w:pPr>
              <w:pStyle w:val="Heading3"/>
            </w:pPr>
            <w:r w:rsidRPr="002F64E9">
              <w:rPr>
                <w:sz w:val="24"/>
                <w:szCs w:val="22"/>
              </w:rPr>
              <w:t>People Services:</w:t>
            </w:r>
          </w:p>
        </w:tc>
        <w:tc>
          <w:tcPr>
            <w:tcW w:w="1277" w:type="dxa"/>
          </w:tcPr>
          <w:p w14:paraId="6B183A00" w14:textId="77777777" w:rsidR="005A2701" w:rsidRPr="005A2701" w:rsidRDefault="005A2701" w:rsidP="005A2701">
            <w:pPr>
              <w:rPr>
                <w:rFonts w:ascii="Neue Haas Grotesk Text Pro" w:hAnsi="Neue Haas Grotesk Text Pro"/>
                <w:b/>
              </w:rPr>
            </w:pPr>
          </w:p>
        </w:tc>
      </w:tr>
      <w:tr w:rsidR="005A2701" w:rsidRPr="005A2701" w14:paraId="6C4AC279" w14:textId="77777777" w:rsidTr="006C1C4D">
        <w:trPr>
          <w:trHeight w:val="542"/>
        </w:trPr>
        <w:tc>
          <w:tcPr>
            <w:tcW w:w="3402" w:type="dxa"/>
          </w:tcPr>
          <w:p w14:paraId="39B9EABA" w14:textId="0A704717" w:rsidR="005A2701" w:rsidRPr="00070651" w:rsidRDefault="00AC73F2" w:rsidP="0033476B">
            <w:pPr>
              <w:pStyle w:val="Heading3"/>
              <w:ind w:hanging="113"/>
              <w:rPr>
                <w:sz w:val="24"/>
              </w:rPr>
            </w:pPr>
            <w:r w:rsidRPr="00070651">
              <w:rPr>
                <w:sz w:val="24"/>
              </w:rPr>
              <w:t>D</w:t>
            </w:r>
            <w:r w:rsidR="005A2701" w:rsidRPr="00070651">
              <w:rPr>
                <w:sz w:val="24"/>
              </w:rPr>
              <w:t>ate:</w:t>
            </w:r>
            <w:r w:rsidR="005D7F17">
              <w:rPr>
                <w:sz w:val="24"/>
              </w:rPr>
              <w:t xml:space="preserve"> </w:t>
            </w:r>
          </w:p>
        </w:tc>
        <w:tc>
          <w:tcPr>
            <w:tcW w:w="1701" w:type="dxa"/>
          </w:tcPr>
          <w:p w14:paraId="3344B80E" w14:textId="77777777" w:rsidR="005A2701" w:rsidRDefault="005A2701" w:rsidP="005A2701">
            <w:pPr>
              <w:rPr>
                <w:rFonts w:ascii="Neue Haas Grotesk Text Pro" w:hAnsi="Neue Haas Grotesk Text Pro"/>
                <w:b/>
              </w:rPr>
            </w:pPr>
          </w:p>
          <w:p w14:paraId="2C6EABD3" w14:textId="77777777" w:rsidR="004B2309" w:rsidRPr="005A2701" w:rsidRDefault="004B2309" w:rsidP="005A2701">
            <w:pPr>
              <w:rPr>
                <w:rFonts w:ascii="Neue Haas Grotesk Text Pro" w:hAnsi="Neue Haas Grotesk Text Pro"/>
                <w:b/>
              </w:rPr>
            </w:pPr>
          </w:p>
        </w:tc>
        <w:tc>
          <w:tcPr>
            <w:tcW w:w="3119" w:type="dxa"/>
          </w:tcPr>
          <w:p w14:paraId="2CC297B8" w14:textId="44A3D1A1" w:rsidR="005A2701" w:rsidRPr="005A2701" w:rsidRDefault="002F64E9" w:rsidP="00C47631">
            <w:pPr>
              <w:pStyle w:val="Heading3"/>
            </w:pPr>
            <w:r w:rsidRPr="002F64E9">
              <w:rPr>
                <w:sz w:val="24"/>
                <w:szCs w:val="22"/>
              </w:rPr>
              <w:t>Date:</w:t>
            </w:r>
          </w:p>
        </w:tc>
        <w:tc>
          <w:tcPr>
            <w:tcW w:w="1277" w:type="dxa"/>
          </w:tcPr>
          <w:p w14:paraId="40432E0F" w14:textId="77777777" w:rsidR="005A2701" w:rsidRPr="005A2701" w:rsidRDefault="005A2701" w:rsidP="005A2701">
            <w:pPr>
              <w:rPr>
                <w:rFonts w:ascii="Neue Haas Grotesk Text Pro" w:hAnsi="Neue Haas Grotesk Text Pro"/>
                <w:b/>
              </w:rPr>
            </w:pPr>
          </w:p>
        </w:tc>
      </w:tr>
    </w:tbl>
    <w:p w14:paraId="48A53E74" w14:textId="77777777" w:rsidR="00756536" w:rsidRPr="00D007E3" w:rsidRDefault="00756536" w:rsidP="005A2701">
      <w:pPr>
        <w:rPr>
          <w:rFonts w:ascii="Neue Haas Grotesk Text Pro" w:hAnsi="Neue Haas Grotesk Text Pro"/>
        </w:rPr>
      </w:pPr>
    </w:p>
    <w:sectPr w:rsidR="00756536" w:rsidRPr="00D007E3" w:rsidSect="00280C06">
      <w:headerReference w:type="default" r:id="rId15"/>
      <w:footerReference w:type="even" r:id="rId16"/>
      <w:footerReference w:type="default" r:id="rId17"/>
      <w:headerReference w:type="first" r:id="rId18"/>
      <w:footerReference w:type="first" r:id="rId19"/>
      <w:pgSz w:w="11906" w:h="16838"/>
      <w:pgMar w:top="1633" w:right="1331" w:bottom="1059"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1A59C" w14:textId="77777777" w:rsidR="00DB08AF" w:rsidRDefault="00DB08AF" w:rsidP="00756536">
      <w:pPr>
        <w:spacing w:after="0" w:line="240" w:lineRule="auto"/>
      </w:pPr>
      <w:r>
        <w:separator/>
      </w:r>
    </w:p>
  </w:endnote>
  <w:endnote w:type="continuationSeparator" w:id="0">
    <w:p w14:paraId="3170135B" w14:textId="77777777" w:rsidR="00DB08AF" w:rsidRDefault="00DB08AF" w:rsidP="00756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Neue Haas Grotesk Text Pro">
    <w:charset w:val="00"/>
    <w:family w:val="swiss"/>
    <w:pitch w:val="variable"/>
    <w:sig w:usb0="00000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91015372"/>
      <w:docPartObj>
        <w:docPartGallery w:val="Page Numbers (Bottom of Page)"/>
        <w:docPartUnique/>
      </w:docPartObj>
    </w:sdtPr>
    <w:sdtEndPr>
      <w:rPr>
        <w:rStyle w:val="PageNumber"/>
      </w:rPr>
    </w:sdtEndPr>
    <w:sdtContent>
      <w:p w14:paraId="6CD96385" w14:textId="2A9E5796" w:rsidR="0033476B" w:rsidRDefault="0033476B" w:rsidP="00207A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6EFF34" w14:textId="77777777" w:rsidR="0033476B" w:rsidRDefault="0033476B" w:rsidP="003347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56892396"/>
      <w:docPartObj>
        <w:docPartGallery w:val="Page Numbers (Bottom of Page)"/>
        <w:docPartUnique/>
      </w:docPartObj>
    </w:sdtPr>
    <w:sdtEndPr>
      <w:rPr>
        <w:rStyle w:val="PageNumber"/>
        <w:color w:val="C24227"/>
        <w:sz w:val="20"/>
        <w:szCs w:val="20"/>
      </w:rPr>
    </w:sdtEndPr>
    <w:sdtContent>
      <w:p w14:paraId="617EB55A" w14:textId="0EE884AC" w:rsidR="0033476B" w:rsidRPr="0033476B" w:rsidRDefault="0033476B" w:rsidP="00207AA4">
        <w:pPr>
          <w:pStyle w:val="Footer"/>
          <w:framePr w:wrap="none" w:vAnchor="text" w:hAnchor="margin" w:xAlign="right" w:y="1"/>
          <w:rPr>
            <w:rStyle w:val="PageNumber"/>
            <w:color w:val="C24227"/>
            <w:sz w:val="20"/>
            <w:szCs w:val="20"/>
          </w:rPr>
        </w:pPr>
        <w:r w:rsidRPr="0033476B">
          <w:rPr>
            <w:rStyle w:val="PageNumber"/>
            <w:color w:val="C24227"/>
            <w:sz w:val="20"/>
            <w:szCs w:val="20"/>
          </w:rPr>
          <w:fldChar w:fldCharType="begin"/>
        </w:r>
        <w:r w:rsidRPr="0033476B">
          <w:rPr>
            <w:rStyle w:val="PageNumber"/>
            <w:color w:val="C24227"/>
            <w:sz w:val="20"/>
            <w:szCs w:val="20"/>
          </w:rPr>
          <w:instrText xml:space="preserve"> PAGE </w:instrText>
        </w:r>
        <w:r w:rsidRPr="0033476B">
          <w:rPr>
            <w:rStyle w:val="PageNumber"/>
            <w:color w:val="C24227"/>
            <w:sz w:val="20"/>
            <w:szCs w:val="20"/>
          </w:rPr>
          <w:fldChar w:fldCharType="separate"/>
        </w:r>
        <w:r w:rsidRPr="0033476B">
          <w:rPr>
            <w:rStyle w:val="PageNumber"/>
            <w:noProof/>
            <w:color w:val="C24227"/>
            <w:sz w:val="20"/>
            <w:szCs w:val="20"/>
          </w:rPr>
          <w:t>2</w:t>
        </w:r>
        <w:r w:rsidRPr="0033476B">
          <w:rPr>
            <w:rStyle w:val="PageNumber"/>
            <w:color w:val="C24227"/>
            <w:sz w:val="20"/>
            <w:szCs w:val="20"/>
          </w:rPr>
          <w:fldChar w:fldCharType="end"/>
        </w:r>
      </w:p>
    </w:sdtContent>
  </w:sdt>
  <w:p w14:paraId="339A2963" w14:textId="0E81B6B4" w:rsidR="0033476B" w:rsidRPr="0033476B" w:rsidRDefault="0033476B" w:rsidP="0033476B">
    <w:pPr>
      <w:pStyle w:val="Footer"/>
      <w:ind w:right="360"/>
      <w:jc w:val="right"/>
      <w:rPr>
        <w:color w:val="C24227"/>
        <w:sz w:val="21"/>
        <w:szCs w:val="21"/>
      </w:rPr>
    </w:pPr>
    <w:r w:rsidRPr="0033476B">
      <w:rPr>
        <w:color w:val="C24227"/>
        <w:sz w:val="20"/>
        <w:szCs w:val="20"/>
      </w:rPr>
      <w:t xml:space="preserve">Job Description </w:t>
    </w:r>
    <w:r w:rsidR="001B54FD" w:rsidRPr="0033476B">
      <w:rPr>
        <w:color w:val="C24227"/>
        <w:sz w:val="20"/>
        <w:szCs w:val="20"/>
      </w:rPr>
      <w:t>Form</w:t>
    </w:r>
    <w:r w:rsidR="001B54FD">
      <w:rPr>
        <w:color w:val="C24227"/>
        <w:sz w:val="21"/>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C24227"/>
        <w:sz w:val="22"/>
        <w:szCs w:val="22"/>
      </w:rPr>
      <w:id w:val="2073308761"/>
      <w:docPartObj>
        <w:docPartGallery w:val="Page Numbers (Bottom of Page)"/>
        <w:docPartUnique/>
      </w:docPartObj>
    </w:sdtPr>
    <w:sdtEndPr>
      <w:rPr>
        <w:rStyle w:val="PageNumber"/>
        <w:sz w:val="20"/>
        <w:szCs w:val="20"/>
      </w:rPr>
    </w:sdtEndPr>
    <w:sdtContent>
      <w:p w14:paraId="7E362E97" w14:textId="0DFDA1A7" w:rsidR="0033476B" w:rsidRPr="0033476B" w:rsidRDefault="0033476B" w:rsidP="00207AA4">
        <w:pPr>
          <w:pStyle w:val="Footer"/>
          <w:framePr w:wrap="none" w:vAnchor="text" w:hAnchor="margin" w:xAlign="right" w:y="1"/>
          <w:rPr>
            <w:rStyle w:val="PageNumber"/>
            <w:color w:val="C24227"/>
            <w:sz w:val="20"/>
            <w:szCs w:val="20"/>
          </w:rPr>
        </w:pPr>
        <w:r w:rsidRPr="0033476B">
          <w:rPr>
            <w:rStyle w:val="PageNumber"/>
            <w:color w:val="C24227"/>
            <w:sz w:val="20"/>
            <w:szCs w:val="20"/>
          </w:rPr>
          <w:fldChar w:fldCharType="begin"/>
        </w:r>
        <w:r w:rsidRPr="0033476B">
          <w:rPr>
            <w:rStyle w:val="PageNumber"/>
            <w:color w:val="C24227"/>
            <w:sz w:val="20"/>
            <w:szCs w:val="20"/>
          </w:rPr>
          <w:instrText xml:space="preserve"> PAGE </w:instrText>
        </w:r>
        <w:r w:rsidRPr="0033476B">
          <w:rPr>
            <w:rStyle w:val="PageNumber"/>
            <w:color w:val="C24227"/>
            <w:sz w:val="20"/>
            <w:szCs w:val="20"/>
          </w:rPr>
          <w:fldChar w:fldCharType="separate"/>
        </w:r>
        <w:r w:rsidRPr="0033476B">
          <w:rPr>
            <w:rStyle w:val="PageNumber"/>
            <w:noProof/>
            <w:color w:val="C24227"/>
            <w:sz w:val="20"/>
            <w:szCs w:val="20"/>
          </w:rPr>
          <w:t>1</w:t>
        </w:r>
        <w:r w:rsidRPr="0033476B">
          <w:rPr>
            <w:rStyle w:val="PageNumber"/>
            <w:color w:val="C24227"/>
            <w:sz w:val="20"/>
            <w:szCs w:val="20"/>
          </w:rPr>
          <w:fldChar w:fldCharType="end"/>
        </w:r>
      </w:p>
    </w:sdtContent>
  </w:sdt>
  <w:p w14:paraId="03B66A20" w14:textId="04D8CEBD" w:rsidR="0033476B" w:rsidRPr="0033476B" w:rsidRDefault="0033476B" w:rsidP="0033476B">
    <w:pPr>
      <w:pStyle w:val="Footer"/>
      <w:ind w:right="284"/>
      <w:jc w:val="right"/>
      <w:rPr>
        <w:color w:val="C24227"/>
        <w:sz w:val="21"/>
        <w:szCs w:val="21"/>
      </w:rPr>
    </w:pPr>
    <w:r w:rsidRPr="0033476B">
      <w:rPr>
        <w:color w:val="C24227"/>
        <w:sz w:val="20"/>
        <w:szCs w:val="20"/>
      </w:rPr>
      <w:t xml:space="preserve">Job Description </w:t>
    </w:r>
    <w:r w:rsidR="001B54FD" w:rsidRPr="0033476B">
      <w:rPr>
        <w:color w:val="C24227"/>
        <w:sz w:val="20"/>
        <w:szCs w:val="20"/>
      </w:rPr>
      <w:t>Form</w:t>
    </w:r>
    <w:r w:rsidR="001B54FD">
      <w:rPr>
        <w:color w:val="C24227"/>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F1AD5" w14:textId="77777777" w:rsidR="00DB08AF" w:rsidRDefault="00DB08AF" w:rsidP="00756536">
      <w:pPr>
        <w:spacing w:after="0" w:line="240" w:lineRule="auto"/>
      </w:pPr>
      <w:r>
        <w:separator/>
      </w:r>
    </w:p>
  </w:footnote>
  <w:footnote w:type="continuationSeparator" w:id="0">
    <w:p w14:paraId="2A2DB8D5" w14:textId="77777777" w:rsidR="00DB08AF" w:rsidRDefault="00DB08AF" w:rsidP="00756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8DCB9" w14:textId="6D563911" w:rsidR="00756536" w:rsidRDefault="00756536">
    <w:pPr>
      <w:pStyle w:val="Header"/>
    </w:pPr>
    <w:r>
      <w:rPr>
        <w:noProof/>
      </w:rPr>
      <w:drawing>
        <wp:anchor distT="0" distB="0" distL="114300" distR="114300" simplePos="0" relativeHeight="251658240" behindDoc="1" locked="0" layoutInCell="1" allowOverlap="1" wp14:anchorId="57D31028" wp14:editId="51A2CA44">
          <wp:simplePos x="0" y="0"/>
          <wp:positionH relativeFrom="page">
            <wp:posOffset>3383967</wp:posOffset>
          </wp:positionH>
          <wp:positionV relativeFrom="paragraph">
            <wp:posOffset>-450215</wp:posOffset>
          </wp:positionV>
          <wp:extent cx="4192990" cy="873303"/>
          <wp:effectExtent l="0" t="0" r="0" b="3175"/>
          <wp:wrapNone/>
          <wp:docPr id="283932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69294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220137" cy="87895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BAA66" w14:textId="695D9430" w:rsidR="00756536" w:rsidRPr="00756536" w:rsidRDefault="00C26E45" w:rsidP="00756536">
    <w:pPr>
      <w:pStyle w:val="Header"/>
    </w:pPr>
    <w:r>
      <w:rPr>
        <w:noProof/>
      </w:rPr>
      <w:drawing>
        <wp:anchor distT="0" distB="0" distL="114300" distR="114300" simplePos="0" relativeHeight="251664384" behindDoc="0" locked="0" layoutInCell="1" allowOverlap="1" wp14:anchorId="460AE528" wp14:editId="51C3B668">
          <wp:simplePos x="0" y="0"/>
          <wp:positionH relativeFrom="column">
            <wp:posOffset>-741045</wp:posOffset>
          </wp:positionH>
          <wp:positionV relativeFrom="paragraph">
            <wp:posOffset>-457314</wp:posOffset>
          </wp:positionV>
          <wp:extent cx="7639685" cy="1900555"/>
          <wp:effectExtent l="0" t="0" r="5715" b="0"/>
          <wp:wrapThrough wrapText="bothSides">
            <wp:wrapPolygon edited="0">
              <wp:start x="14578" y="0"/>
              <wp:lineTo x="14291" y="2309"/>
              <wp:lineTo x="3950" y="3753"/>
              <wp:lineTo x="2514" y="4041"/>
              <wp:lineTo x="2406" y="6928"/>
              <wp:lineTo x="2226" y="8372"/>
              <wp:lineTo x="2334" y="9238"/>
              <wp:lineTo x="2190" y="9671"/>
              <wp:lineTo x="2334" y="10248"/>
              <wp:lineTo x="15440" y="11547"/>
              <wp:lineTo x="2119" y="13856"/>
              <wp:lineTo x="2154" y="16166"/>
              <wp:lineTo x="5602" y="16166"/>
              <wp:lineTo x="3950" y="17609"/>
              <wp:lineTo x="3734" y="17898"/>
              <wp:lineTo x="3734" y="18475"/>
              <wp:lineTo x="0" y="18475"/>
              <wp:lineTo x="0" y="20640"/>
              <wp:lineTo x="1185" y="20929"/>
              <wp:lineTo x="18025" y="21362"/>
              <wp:lineTo x="20359" y="21362"/>
              <wp:lineTo x="20431" y="21073"/>
              <wp:lineTo x="21580" y="20351"/>
              <wp:lineTo x="21580" y="0"/>
              <wp:lineTo x="14578" y="0"/>
            </wp:wrapPolygon>
          </wp:wrapThrough>
          <wp:docPr id="40092370" name="Picture 1" descr="A line of white dots with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143251" name="Picture 1" descr="A line of white dots with orang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39685" cy="19005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832EB"/>
    <w:multiLevelType w:val="hybridMultilevel"/>
    <w:tmpl w:val="6156A260"/>
    <w:lvl w:ilvl="0" w:tplc="C69A78E2">
      <w:start w:val="1"/>
      <w:numFmt w:val="bullet"/>
      <w:lvlText w:val="•"/>
      <w:lvlJc w:val="left"/>
      <w:pPr>
        <w:ind w:left="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36266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E86ED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7613A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92B70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AE5B5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DE116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14666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223A2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3918FD"/>
    <w:multiLevelType w:val="hybridMultilevel"/>
    <w:tmpl w:val="152A30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3304FD"/>
    <w:multiLevelType w:val="multilevel"/>
    <w:tmpl w:val="F2346CE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D2180E"/>
    <w:multiLevelType w:val="hybridMultilevel"/>
    <w:tmpl w:val="1CD09BA4"/>
    <w:lvl w:ilvl="0" w:tplc="79D67FB6">
      <w:start w:val="1"/>
      <w:numFmt w:val="bullet"/>
      <w:lvlText w:val="•"/>
      <w:lvlJc w:val="left"/>
      <w:pPr>
        <w:ind w:left="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0652D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4A3E3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2E71A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C0DCA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F0A9F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769AB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B4EC6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C2AB6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0D96BA4"/>
    <w:multiLevelType w:val="hybridMultilevel"/>
    <w:tmpl w:val="A2008B64"/>
    <w:lvl w:ilvl="0" w:tplc="D30C1B6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B33127"/>
    <w:multiLevelType w:val="hybridMultilevel"/>
    <w:tmpl w:val="E08053C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2B9D676C"/>
    <w:multiLevelType w:val="hybridMultilevel"/>
    <w:tmpl w:val="CAD4D270"/>
    <w:lvl w:ilvl="0" w:tplc="D30C1B6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321244"/>
    <w:multiLevelType w:val="hybridMultilevel"/>
    <w:tmpl w:val="52AE7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AF7685"/>
    <w:multiLevelType w:val="hybridMultilevel"/>
    <w:tmpl w:val="18EA1A44"/>
    <w:lvl w:ilvl="0" w:tplc="EFF8825C">
      <w:start w:val="1"/>
      <w:numFmt w:val="bullet"/>
      <w:lvlText w:val="•"/>
      <w:lvlJc w:val="left"/>
      <w:pPr>
        <w:ind w:left="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7419A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BAF0C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E2476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C02CA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CC03B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2EB0E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00798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2CDC8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44E20D1"/>
    <w:multiLevelType w:val="hybridMultilevel"/>
    <w:tmpl w:val="D624B042"/>
    <w:lvl w:ilvl="0" w:tplc="A1C46D56">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853A2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6586DB0"/>
    <w:multiLevelType w:val="hybridMultilevel"/>
    <w:tmpl w:val="2D242FC4"/>
    <w:lvl w:ilvl="0" w:tplc="D30C1B62">
      <w:start w:val="1"/>
      <w:numFmt w:val="decimal"/>
      <w:lvlText w:val="%1."/>
      <w:lvlJc w:val="left"/>
      <w:pPr>
        <w:ind w:left="720" w:hanging="72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AD51EC8"/>
    <w:multiLevelType w:val="hybridMultilevel"/>
    <w:tmpl w:val="BCAA3E22"/>
    <w:lvl w:ilvl="0" w:tplc="E3EC7B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F81C4F"/>
    <w:multiLevelType w:val="hybridMultilevel"/>
    <w:tmpl w:val="6C509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E74AEC"/>
    <w:multiLevelType w:val="hybridMultilevel"/>
    <w:tmpl w:val="2A821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7E1A53"/>
    <w:multiLevelType w:val="hybridMultilevel"/>
    <w:tmpl w:val="44D05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C22E9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E86638"/>
    <w:multiLevelType w:val="hybridMultilevel"/>
    <w:tmpl w:val="7CE49A8E"/>
    <w:lvl w:ilvl="0" w:tplc="D098ECD8">
      <w:start w:val="1"/>
      <w:numFmt w:val="bullet"/>
      <w:lvlText w:val="•"/>
      <w:lvlJc w:val="left"/>
      <w:pPr>
        <w:ind w:left="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D465C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02F8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BC152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F2608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DCAB1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72D4E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94ADB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98F90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BBD392A"/>
    <w:multiLevelType w:val="hybridMultilevel"/>
    <w:tmpl w:val="F6E8A39A"/>
    <w:lvl w:ilvl="0" w:tplc="0C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5E843D7"/>
    <w:multiLevelType w:val="hybridMultilevel"/>
    <w:tmpl w:val="C5747D1E"/>
    <w:lvl w:ilvl="0" w:tplc="900E1322">
      <w:start w:val="1"/>
      <w:numFmt w:val="bullet"/>
      <w:lvlText w:val="•"/>
      <w:lvlJc w:val="left"/>
      <w:pPr>
        <w:ind w:left="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7C382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60458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DE9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D86D4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70326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4CC2F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9C353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288C7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EEF1003"/>
    <w:multiLevelType w:val="multilevel"/>
    <w:tmpl w:val="D13433F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16F09D4"/>
    <w:multiLevelType w:val="hybridMultilevel"/>
    <w:tmpl w:val="993C03A6"/>
    <w:lvl w:ilvl="0" w:tplc="34343964">
      <w:start w:val="1"/>
      <w:numFmt w:val="decimal"/>
      <w:lvlText w:val="%1."/>
      <w:lvlJc w:val="left"/>
      <w:pPr>
        <w:ind w:left="5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28F264">
      <w:start w:val="1"/>
      <w:numFmt w:val="lowerLetter"/>
      <w:lvlText w:val="%2"/>
      <w:lvlJc w:val="left"/>
      <w:pPr>
        <w:ind w:left="1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4822AA">
      <w:start w:val="1"/>
      <w:numFmt w:val="lowerRoman"/>
      <w:lvlText w:val="%3"/>
      <w:lvlJc w:val="left"/>
      <w:pPr>
        <w:ind w:left="1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0476B0">
      <w:start w:val="1"/>
      <w:numFmt w:val="decimal"/>
      <w:lvlText w:val="%4"/>
      <w:lvlJc w:val="left"/>
      <w:pPr>
        <w:ind w:left="2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946C5A">
      <w:start w:val="1"/>
      <w:numFmt w:val="lowerLetter"/>
      <w:lvlText w:val="%5"/>
      <w:lvlJc w:val="left"/>
      <w:pPr>
        <w:ind w:left="3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DE613F0">
      <w:start w:val="1"/>
      <w:numFmt w:val="lowerRoman"/>
      <w:lvlText w:val="%6"/>
      <w:lvlJc w:val="left"/>
      <w:pPr>
        <w:ind w:left="3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D82A14">
      <w:start w:val="1"/>
      <w:numFmt w:val="decimal"/>
      <w:lvlText w:val="%7"/>
      <w:lvlJc w:val="left"/>
      <w:pPr>
        <w:ind w:left="4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EE1F2A">
      <w:start w:val="1"/>
      <w:numFmt w:val="lowerLetter"/>
      <w:lvlText w:val="%8"/>
      <w:lvlJc w:val="left"/>
      <w:pPr>
        <w:ind w:left="5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152756A">
      <w:start w:val="1"/>
      <w:numFmt w:val="lowerRoman"/>
      <w:lvlText w:val="%9"/>
      <w:lvlJc w:val="left"/>
      <w:pPr>
        <w:ind w:left="6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AD75DAB"/>
    <w:multiLevelType w:val="hybridMultilevel"/>
    <w:tmpl w:val="677694C0"/>
    <w:lvl w:ilvl="0" w:tplc="9A5A07A0">
      <w:start w:val="1"/>
      <w:numFmt w:val="decimal"/>
      <w:lvlText w:val="%1."/>
      <w:lvlJc w:val="left"/>
      <w:pPr>
        <w:ind w:left="540" w:hanging="5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18785469">
    <w:abstractNumId w:val="7"/>
  </w:num>
  <w:num w:numId="2" w16cid:durableId="13762725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2348590">
    <w:abstractNumId w:val="5"/>
  </w:num>
  <w:num w:numId="4" w16cid:durableId="1326056679">
    <w:abstractNumId w:val="15"/>
  </w:num>
  <w:num w:numId="5" w16cid:durableId="165638337">
    <w:abstractNumId w:val="12"/>
  </w:num>
  <w:num w:numId="6" w16cid:durableId="1123695853">
    <w:abstractNumId w:val="11"/>
  </w:num>
  <w:num w:numId="7" w16cid:durableId="1581137968">
    <w:abstractNumId w:val="4"/>
  </w:num>
  <w:num w:numId="8" w16cid:durableId="210381380">
    <w:abstractNumId w:val="6"/>
  </w:num>
  <w:num w:numId="9" w16cid:durableId="1667249357">
    <w:abstractNumId w:val="22"/>
  </w:num>
  <w:num w:numId="10" w16cid:durableId="1636334645">
    <w:abstractNumId w:val="14"/>
  </w:num>
  <w:num w:numId="11" w16cid:durableId="1816409002">
    <w:abstractNumId w:val="9"/>
  </w:num>
  <w:num w:numId="12" w16cid:durableId="1771470451">
    <w:abstractNumId w:val="10"/>
  </w:num>
  <w:num w:numId="13" w16cid:durableId="2042582278">
    <w:abstractNumId w:val="20"/>
  </w:num>
  <w:num w:numId="14" w16cid:durableId="301085470">
    <w:abstractNumId w:val="16"/>
  </w:num>
  <w:num w:numId="15" w16cid:durableId="24185399">
    <w:abstractNumId w:val="2"/>
  </w:num>
  <w:num w:numId="16" w16cid:durableId="169490687">
    <w:abstractNumId w:val="13"/>
  </w:num>
  <w:num w:numId="17" w16cid:durableId="629700953">
    <w:abstractNumId w:val="1"/>
  </w:num>
  <w:num w:numId="18" w16cid:durableId="1341004227">
    <w:abstractNumId w:val="18"/>
  </w:num>
  <w:num w:numId="19" w16cid:durableId="2051873794">
    <w:abstractNumId w:val="3"/>
  </w:num>
  <w:num w:numId="20" w16cid:durableId="1407992069">
    <w:abstractNumId w:val="17"/>
  </w:num>
  <w:num w:numId="21" w16cid:durableId="1340884851">
    <w:abstractNumId w:val="8"/>
  </w:num>
  <w:num w:numId="22" w16cid:durableId="1351755972">
    <w:abstractNumId w:val="0"/>
  </w:num>
  <w:num w:numId="23" w16cid:durableId="848368474">
    <w:abstractNumId w:val="19"/>
  </w:num>
  <w:num w:numId="24" w16cid:durableId="2075732783">
    <w:abstractNumId w:val="21"/>
  </w:num>
  <w:num w:numId="25" w16cid:durableId="1837089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F9A"/>
    <w:rsid w:val="0001480B"/>
    <w:rsid w:val="00021A3D"/>
    <w:rsid w:val="00025438"/>
    <w:rsid w:val="00044FF3"/>
    <w:rsid w:val="00051CBF"/>
    <w:rsid w:val="0006478A"/>
    <w:rsid w:val="00070651"/>
    <w:rsid w:val="00083B4F"/>
    <w:rsid w:val="000A6FA1"/>
    <w:rsid w:val="000D0AF3"/>
    <w:rsid w:val="000D0F48"/>
    <w:rsid w:val="00132369"/>
    <w:rsid w:val="001341B6"/>
    <w:rsid w:val="00145E44"/>
    <w:rsid w:val="001633FD"/>
    <w:rsid w:val="001744F5"/>
    <w:rsid w:val="001A50FB"/>
    <w:rsid w:val="001B27CF"/>
    <w:rsid w:val="001B52F9"/>
    <w:rsid w:val="001B54FD"/>
    <w:rsid w:val="001B7A87"/>
    <w:rsid w:val="001B7CD1"/>
    <w:rsid w:val="00204930"/>
    <w:rsid w:val="002156DB"/>
    <w:rsid w:val="002342EF"/>
    <w:rsid w:val="00246EF2"/>
    <w:rsid w:val="0024718E"/>
    <w:rsid w:val="00260B8D"/>
    <w:rsid w:val="002656BC"/>
    <w:rsid w:val="00280169"/>
    <w:rsid w:val="00280C06"/>
    <w:rsid w:val="00283EB7"/>
    <w:rsid w:val="002843C7"/>
    <w:rsid w:val="002874CE"/>
    <w:rsid w:val="002937C1"/>
    <w:rsid w:val="002956EB"/>
    <w:rsid w:val="00296FEC"/>
    <w:rsid w:val="002B657B"/>
    <w:rsid w:val="002C7270"/>
    <w:rsid w:val="002D3E24"/>
    <w:rsid w:val="002F64E9"/>
    <w:rsid w:val="00300C8A"/>
    <w:rsid w:val="0030375D"/>
    <w:rsid w:val="0033476B"/>
    <w:rsid w:val="003522C2"/>
    <w:rsid w:val="0036514A"/>
    <w:rsid w:val="00394896"/>
    <w:rsid w:val="003A12FE"/>
    <w:rsid w:val="003A3903"/>
    <w:rsid w:val="003A787A"/>
    <w:rsid w:val="003C1C26"/>
    <w:rsid w:val="003D0A66"/>
    <w:rsid w:val="00414112"/>
    <w:rsid w:val="00422282"/>
    <w:rsid w:val="0042389C"/>
    <w:rsid w:val="00430199"/>
    <w:rsid w:val="00430D2F"/>
    <w:rsid w:val="0043252D"/>
    <w:rsid w:val="00451463"/>
    <w:rsid w:val="00462800"/>
    <w:rsid w:val="004658EA"/>
    <w:rsid w:val="00471F7F"/>
    <w:rsid w:val="00477E21"/>
    <w:rsid w:val="00494398"/>
    <w:rsid w:val="00497F38"/>
    <w:rsid w:val="004A3655"/>
    <w:rsid w:val="004A4EC3"/>
    <w:rsid w:val="004B2309"/>
    <w:rsid w:val="004C7E95"/>
    <w:rsid w:val="004E000D"/>
    <w:rsid w:val="004E1073"/>
    <w:rsid w:val="004E2FC6"/>
    <w:rsid w:val="004F457E"/>
    <w:rsid w:val="005257D4"/>
    <w:rsid w:val="00536F4B"/>
    <w:rsid w:val="0057229A"/>
    <w:rsid w:val="005A2699"/>
    <w:rsid w:val="005A2701"/>
    <w:rsid w:val="005C1AF1"/>
    <w:rsid w:val="005D7F17"/>
    <w:rsid w:val="005E2416"/>
    <w:rsid w:val="005F483B"/>
    <w:rsid w:val="00601500"/>
    <w:rsid w:val="00631D31"/>
    <w:rsid w:val="00647E4B"/>
    <w:rsid w:val="00663B85"/>
    <w:rsid w:val="0068201A"/>
    <w:rsid w:val="00686F75"/>
    <w:rsid w:val="006963C4"/>
    <w:rsid w:val="006A1E28"/>
    <w:rsid w:val="006C1C4D"/>
    <w:rsid w:val="006C2F8C"/>
    <w:rsid w:val="006D03B1"/>
    <w:rsid w:val="006F17A8"/>
    <w:rsid w:val="00721C5E"/>
    <w:rsid w:val="00727985"/>
    <w:rsid w:val="00733555"/>
    <w:rsid w:val="007421AD"/>
    <w:rsid w:val="00746389"/>
    <w:rsid w:val="00756536"/>
    <w:rsid w:val="007734E6"/>
    <w:rsid w:val="0078067E"/>
    <w:rsid w:val="007A0EFF"/>
    <w:rsid w:val="007A1F18"/>
    <w:rsid w:val="007B0CFF"/>
    <w:rsid w:val="007B2076"/>
    <w:rsid w:val="007D5860"/>
    <w:rsid w:val="007E7FB0"/>
    <w:rsid w:val="00814628"/>
    <w:rsid w:val="0084252E"/>
    <w:rsid w:val="008531F0"/>
    <w:rsid w:val="00892424"/>
    <w:rsid w:val="008947AE"/>
    <w:rsid w:val="008A3F8E"/>
    <w:rsid w:val="008E0484"/>
    <w:rsid w:val="008E36D7"/>
    <w:rsid w:val="009075E2"/>
    <w:rsid w:val="0091187B"/>
    <w:rsid w:val="009514B1"/>
    <w:rsid w:val="0095755A"/>
    <w:rsid w:val="00961CC9"/>
    <w:rsid w:val="00971722"/>
    <w:rsid w:val="009A0C1E"/>
    <w:rsid w:val="009C0ED6"/>
    <w:rsid w:val="00A00DF9"/>
    <w:rsid w:val="00A2480E"/>
    <w:rsid w:val="00A254A1"/>
    <w:rsid w:val="00A274B9"/>
    <w:rsid w:val="00A40911"/>
    <w:rsid w:val="00A518E1"/>
    <w:rsid w:val="00A72186"/>
    <w:rsid w:val="00A86D4C"/>
    <w:rsid w:val="00A93FF1"/>
    <w:rsid w:val="00A972A4"/>
    <w:rsid w:val="00AA416A"/>
    <w:rsid w:val="00AA4641"/>
    <w:rsid w:val="00AC584F"/>
    <w:rsid w:val="00AC73F2"/>
    <w:rsid w:val="00AE1B75"/>
    <w:rsid w:val="00AE5EBA"/>
    <w:rsid w:val="00B1554C"/>
    <w:rsid w:val="00B646FB"/>
    <w:rsid w:val="00B8027B"/>
    <w:rsid w:val="00B96037"/>
    <w:rsid w:val="00BB541C"/>
    <w:rsid w:val="00BC5C3F"/>
    <w:rsid w:val="00BD1B8C"/>
    <w:rsid w:val="00C12F9A"/>
    <w:rsid w:val="00C14680"/>
    <w:rsid w:val="00C15B56"/>
    <w:rsid w:val="00C201F1"/>
    <w:rsid w:val="00C26E45"/>
    <w:rsid w:val="00C45F38"/>
    <w:rsid w:val="00C47631"/>
    <w:rsid w:val="00C54A97"/>
    <w:rsid w:val="00C639AF"/>
    <w:rsid w:val="00C72ED1"/>
    <w:rsid w:val="00C86886"/>
    <w:rsid w:val="00CD00BF"/>
    <w:rsid w:val="00CD0B02"/>
    <w:rsid w:val="00CF070B"/>
    <w:rsid w:val="00D007E3"/>
    <w:rsid w:val="00D173A8"/>
    <w:rsid w:val="00D17DEA"/>
    <w:rsid w:val="00D2368C"/>
    <w:rsid w:val="00D718AA"/>
    <w:rsid w:val="00D71E76"/>
    <w:rsid w:val="00D732A5"/>
    <w:rsid w:val="00D7570D"/>
    <w:rsid w:val="00D801DC"/>
    <w:rsid w:val="00DB08AF"/>
    <w:rsid w:val="00DF1A44"/>
    <w:rsid w:val="00DF4B7C"/>
    <w:rsid w:val="00DF7BA5"/>
    <w:rsid w:val="00E02BA3"/>
    <w:rsid w:val="00E14F0F"/>
    <w:rsid w:val="00E20BE0"/>
    <w:rsid w:val="00E23326"/>
    <w:rsid w:val="00E4641B"/>
    <w:rsid w:val="00E61CE6"/>
    <w:rsid w:val="00EA11AC"/>
    <w:rsid w:val="00EC7340"/>
    <w:rsid w:val="00ED18BE"/>
    <w:rsid w:val="00ED68B9"/>
    <w:rsid w:val="00ED7D74"/>
    <w:rsid w:val="00EE13A1"/>
    <w:rsid w:val="00EF2F5D"/>
    <w:rsid w:val="00F02587"/>
    <w:rsid w:val="00F156D2"/>
    <w:rsid w:val="00F167A5"/>
    <w:rsid w:val="00F51C71"/>
    <w:rsid w:val="00F95B4C"/>
    <w:rsid w:val="00FA1359"/>
    <w:rsid w:val="00FA7287"/>
    <w:rsid w:val="00FB2D81"/>
    <w:rsid w:val="00FD7C45"/>
    <w:rsid w:val="00FE0D47"/>
    <w:rsid w:val="00FE5411"/>
    <w:rsid w:val="00FF3F69"/>
    <w:rsid w:val="00FF59C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3EB4C"/>
  <w15:chartTrackingRefBased/>
  <w15:docId w15:val="{E41A61B4-C81E-8D47-A1B7-6C76C9CE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P"/>
    <w:qFormat/>
    <w:rsid w:val="00FB2D81"/>
    <w:pPr>
      <w:spacing w:after="160" w:line="259" w:lineRule="auto"/>
    </w:pPr>
    <w:rPr>
      <w:rFonts w:ascii="Arial" w:hAnsi="Arial" w:cs="Arial"/>
    </w:rPr>
  </w:style>
  <w:style w:type="paragraph" w:styleId="Heading1">
    <w:name w:val="heading 1"/>
    <w:aliases w:val="DPC H1"/>
    <w:basedOn w:val="Normal"/>
    <w:next w:val="Normal"/>
    <w:link w:val="Heading1Char"/>
    <w:uiPriority w:val="9"/>
    <w:qFormat/>
    <w:rsid w:val="00FB2D81"/>
    <w:pPr>
      <w:keepNext/>
      <w:keepLines/>
      <w:spacing w:before="360" w:after="120"/>
      <w:outlineLvl w:val="0"/>
    </w:pPr>
    <w:rPr>
      <w:rFonts w:eastAsiaTheme="majorEastAsia" w:cs="Times New Roman (Headings CS)"/>
      <w:b/>
      <w:color w:val="CC5733"/>
      <w:sz w:val="40"/>
      <w:szCs w:val="32"/>
    </w:rPr>
  </w:style>
  <w:style w:type="paragraph" w:styleId="Heading2">
    <w:name w:val="heading 2"/>
    <w:aliases w:val="DPC H2"/>
    <w:basedOn w:val="Normal"/>
    <w:next w:val="Normal"/>
    <w:link w:val="Heading2Char"/>
    <w:uiPriority w:val="9"/>
    <w:unhideWhenUsed/>
    <w:qFormat/>
    <w:rsid w:val="00FB2D81"/>
    <w:pPr>
      <w:keepNext/>
      <w:keepLines/>
      <w:spacing w:before="360" w:after="120"/>
      <w:outlineLvl w:val="1"/>
    </w:pPr>
    <w:rPr>
      <w:rFonts w:eastAsiaTheme="majorEastAsia" w:cs="Times New Roman (Headings CS)"/>
      <w:b/>
      <w:color w:val="CC5733"/>
      <w:sz w:val="32"/>
      <w:szCs w:val="26"/>
    </w:rPr>
  </w:style>
  <w:style w:type="paragraph" w:styleId="Heading3">
    <w:name w:val="heading 3"/>
    <w:aliases w:val="DPC H3"/>
    <w:basedOn w:val="Normal"/>
    <w:next w:val="Normal"/>
    <w:link w:val="Heading3Char"/>
    <w:uiPriority w:val="9"/>
    <w:unhideWhenUsed/>
    <w:qFormat/>
    <w:rsid w:val="00C45F38"/>
    <w:pPr>
      <w:keepNext/>
      <w:keepLines/>
      <w:spacing w:before="240" w:after="120"/>
      <w:outlineLvl w:val="2"/>
    </w:pPr>
    <w:rPr>
      <w:rFonts w:eastAsiaTheme="majorEastAsia" w:cs="Times New Roman (Headings CS)"/>
      <w:b/>
      <w:color w:val="000000" w:themeColor="text1"/>
      <w:sz w:val="28"/>
    </w:rPr>
  </w:style>
  <w:style w:type="paragraph" w:styleId="Heading4">
    <w:name w:val="heading 4"/>
    <w:basedOn w:val="Normal"/>
    <w:next w:val="Normal"/>
    <w:link w:val="Heading4Char"/>
    <w:uiPriority w:val="9"/>
    <w:unhideWhenUsed/>
    <w:rsid w:val="00C45F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2F9A"/>
    <w:pPr>
      <w:autoSpaceDE w:val="0"/>
      <w:autoSpaceDN w:val="0"/>
      <w:adjustRightInd w:val="0"/>
    </w:pPr>
    <w:rPr>
      <w:rFonts w:ascii="Neue Haas Grotesk Text Pro" w:hAnsi="Neue Haas Grotesk Text Pro" w:cs="Neue Haas Grotesk Text Pro"/>
      <w:color w:val="000000"/>
      <w:lang w:val="en-GB"/>
    </w:rPr>
  </w:style>
  <w:style w:type="table" w:styleId="PlainTable3">
    <w:name w:val="Plain Table 3"/>
    <w:basedOn w:val="TableNormal"/>
    <w:uiPriority w:val="43"/>
    <w:rsid w:val="00C12F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C12F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C12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6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536"/>
    <w:rPr>
      <w:rFonts w:ascii="Arial" w:hAnsi="Arial" w:cs="Arial"/>
      <w:b w:val="0"/>
      <w:i w:val="0"/>
      <w:caps w:val="0"/>
      <w:smallCaps w:val="0"/>
      <w:strike w:val="0"/>
      <w:dstrike w:val="0"/>
      <w:vanish w:val="0"/>
      <w:color w:val="000000" w:themeColor="text1"/>
      <w:sz w:val="24"/>
      <w:vertAlign w:val="baseline"/>
    </w:rPr>
  </w:style>
  <w:style w:type="paragraph" w:styleId="Footer">
    <w:name w:val="footer"/>
    <w:basedOn w:val="Normal"/>
    <w:link w:val="FooterChar"/>
    <w:uiPriority w:val="99"/>
    <w:unhideWhenUsed/>
    <w:rsid w:val="00756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536"/>
    <w:rPr>
      <w:rFonts w:ascii="Arial" w:hAnsi="Arial" w:cs="Arial"/>
      <w:b w:val="0"/>
      <w:i w:val="0"/>
      <w:caps w:val="0"/>
      <w:smallCaps w:val="0"/>
      <w:strike w:val="0"/>
      <w:dstrike w:val="0"/>
      <w:vanish w:val="0"/>
      <w:color w:val="000000" w:themeColor="text1"/>
      <w:sz w:val="24"/>
      <w:vertAlign w:val="baseline"/>
    </w:rPr>
  </w:style>
  <w:style w:type="paragraph" w:styleId="ListParagraph">
    <w:name w:val="List Paragraph"/>
    <w:aliases w:val="DPC List Paragraph P"/>
    <w:basedOn w:val="Normal"/>
    <w:uiPriority w:val="34"/>
    <w:qFormat/>
    <w:rsid w:val="00C45F38"/>
    <w:pPr>
      <w:spacing w:after="120" w:line="240" w:lineRule="auto"/>
      <w:ind w:left="907"/>
    </w:pPr>
    <w:rPr>
      <w:rFonts w:cs="Calibri"/>
      <w:color w:val="000000" w:themeColor="text1"/>
      <w:szCs w:val="22"/>
      <w14:ligatures w14:val="standardContextual"/>
    </w:rPr>
  </w:style>
  <w:style w:type="character" w:styleId="Hyperlink">
    <w:name w:val="Hyperlink"/>
    <w:uiPriority w:val="99"/>
    <w:unhideWhenUsed/>
    <w:rsid w:val="00AC73F2"/>
    <w:rPr>
      <w:rFonts w:ascii="Arial" w:hAnsi="Arial"/>
      <w:b w:val="0"/>
      <w:i w:val="0"/>
      <w:color w:val="6AA489"/>
      <w:sz w:val="24"/>
      <w:u w:val="single"/>
    </w:rPr>
  </w:style>
  <w:style w:type="character" w:customStyle="1" w:styleId="Heading2Char">
    <w:name w:val="Heading 2 Char"/>
    <w:aliases w:val="DPC H2 Char"/>
    <w:basedOn w:val="DefaultParagraphFont"/>
    <w:link w:val="Heading2"/>
    <w:uiPriority w:val="9"/>
    <w:rsid w:val="00FB2D81"/>
    <w:rPr>
      <w:rFonts w:ascii="Arial" w:eastAsiaTheme="majorEastAsia" w:hAnsi="Arial" w:cs="Times New Roman (Headings CS)"/>
      <w:b/>
      <w:i w:val="0"/>
      <w:caps w:val="0"/>
      <w:smallCaps w:val="0"/>
      <w:strike w:val="0"/>
      <w:dstrike w:val="0"/>
      <w:vanish w:val="0"/>
      <w:color w:val="CC5733"/>
      <w:sz w:val="32"/>
      <w:szCs w:val="26"/>
      <w:vertAlign w:val="baseline"/>
    </w:rPr>
  </w:style>
  <w:style w:type="character" w:customStyle="1" w:styleId="Heading3Char">
    <w:name w:val="Heading 3 Char"/>
    <w:aliases w:val="DPC H3 Char"/>
    <w:basedOn w:val="DefaultParagraphFont"/>
    <w:link w:val="Heading3"/>
    <w:uiPriority w:val="9"/>
    <w:rsid w:val="00C45F38"/>
    <w:rPr>
      <w:rFonts w:ascii="Arial" w:eastAsiaTheme="majorEastAsia" w:hAnsi="Arial" w:cs="Times New Roman (Headings CS)"/>
      <w:b/>
      <w:i w:val="0"/>
      <w:caps w:val="0"/>
      <w:smallCaps w:val="0"/>
      <w:strike w:val="0"/>
      <w:dstrike w:val="0"/>
      <w:vanish w:val="0"/>
      <w:color w:val="000000" w:themeColor="text1"/>
      <w:sz w:val="28"/>
      <w:vertAlign w:val="baseline"/>
    </w:rPr>
  </w:style>
  <w:style w:type="character" w:customStyle="1" w:styleId="Heading1Char">
    <w:name w:val="Heading 1 Char"/>
    <w:aliases w:val="DPC H1 Char"/>
    <w:basedOn w:val="DefaultParagraphFont"/>
    <w:link w:val="Heading1"/>
    <w:uiPriority w:val="9"/>
    <w:rsid w:val="00FB2D81"/>
    <w:rPr>
      <w:rFonts w:ascii="Arial" w:eastAsiaTheme="majorEastAsia" w:hAnsi="Arial" w:cs="Times New Roman (Headings CS)"/>
      <w:b/>
      <w:i w:val="0"/>
      <w:caps w:val="0"/>
      <w:smallCaps w:val="0"/>
      <w:strike w:val="0"/>
      <w:dstrike w:val="0"/>
      <w:vanish w:val="0"/>
      <w:color w:val="CC5733"/>
      <w:sz w:val="40"/>
      <w:szCs w:val="32"/>
      <w:vertAlign w:val="baseline"/>
    </w:rPr>
  </w:style>
  <w:style w:type="paragraph" w:styleId="NoSpacing">
    <w:name w:val="No Spacing"/>
    <w:uiPriority w:val="1"/>
    <w:rsid w:val="00FB2D81"/>
    <w:rPr>
      <w:rFonts w:ascii="Arial" w:hAnsi="Arial" w:cs="Arial"/>
    </w:rPr>
  </w:style>
  <w:style w:type="character" w:customStyle="1" w:styleId="Heading4Char">
    <w:name w:val="Heading 4 Char"/>
    <w:basedOn w:val="DefaultParagraphFont"/>
    <w:link w:val="Heading4"/>
    <w:uiPriority w:val="9"/>
    <w:rsid w:val="00C45F38"/>
    <w:rPr>
      <w:rFonts w:asciiTheme="majorHAnsi" w:eastAsiaTheme="majorEastAsia" w:hAnsiTheme="majorHAnsi" w:cstheme="majorBidi"/>
      <w:b w:val="0"/>
      <w:i/>
      <w:iCs/>
      <w:caps w:val="0"/>
      <w:smallCaps w:val="0"/>
      <w:strike w:val="0"/>
      <w:dstrike w:val="0"/>
      <w:vanish w:val="0"/>
      <w:color w:val="2F5496" w:themeColor="accent1" w:themeShade="BF"/>
      <w:sz w:val="24"/>
      <w:vertAlign w:val="baseline"/>
    </w:rPr>
  </w:style>
  <w:style w:type="character" w:styleId="IntenseEmphasis">
    <w:name w:val="Intense Emphasis"/>
    <w:basedOn w:val="DefaultParagraphFont"/>
    <w:uiPriority w:val="21"/>
    <w:rsid w:val="00C45F38"/>
    <w:rPr>
      <w:rFonts w:ascii="Arial" w:hAnsi="Arial"/>
      <w:b w:val="0"/>
      <w:i/>
      <w:iCs/>
      <w:caps w:val="0"/>
      <w:smallCaps w:val="0"/>
      <w:strike w:val="0"/>
      <w:dstrike w:val="0"/>
      <w:vanish w:val="0"/>
      <w:color w:val="4472C4" w:themeColor="accent1"/>
      <w:sz w:val="24"/>
      <w:vertAlign w:val="baseline"/>
    </w:rPr>
  </w:style>
  <w:style w:type="paragraph" w:customStyle="1" w:styleId="Formfields">
    <w:name w:val="Form fields"/>
    <w:basedOn w:val="Default"/>
    <w:qFormat/>
    <w:rsid w:val="00C45F38"/>
    <w:pPr>
      <w:framePr w:hSpace="180" w:wrap="around" w:vAnchor="text" w:hAnchor="text" w:y="1"/>
      <w:suppressOverlap/>
    </w:pPr>
    <w:rPr>
      <w:rFonts w:ascii="Arial" w:hAnsi="Arial"/>
      <w:color w:val="CC5733"/>
    </w:rPr>
  </w:style>
  <w:style w:type="character" w:styleId="SubtleEmphasis">
    <w:name w:val="Subtle Emphasis"/>
    <w:basedOn w:val="DefaultParagraphFont"/>
    <w:uiPriority w:val="19"/>
    <w:rsid w:val="00C45F38"/>
    <w:rPr>
      <w:rFonts w:ascii="Arial" w:hAnsi="Arial"/>
      <w:b w:val="0"/>
      <w:i/>
      <w:iCs/>
      <w:caps w:val="0"/>
      <w:smallCaps w:val="0"/>
      <w:strike w:val="0"/>
      <w:dstrike w:val="0"/>
      <w:vanish w:val="0"/>
      <w:color w:val="404040" w:themeColor="text1" w:themeTint="BF"/>
      <w:sz w:val="24"/>
      <w:vertAlign w:val="baseline"/>
    </w:rPr>
  </w:style>
  <w:style w:type="character" w:styleId="FollowedHyperlink">
    <w:name w:val="FollowedHyperlink"/>
    <w:basedOn w:val="DefaultParagraphFont"/>
    <w:uiPriority w:val="99"/>
    <w:semiHidden/>
    <w:unhideWhenUsed/>
    <w:rsid w:val="00AC73F2"/>
    <w:rPr>
      <w:rFonts w:ascii="Arial" w:hAnsi="Arial"/>
      <w:b w:val="0"/>
      <w:i w:val="0"/>
      <w:caps w:val="0"/>
      <w:smallCaps w:val="0"/>
      <w:strike w:val="0"/>
      <w:dstrike w:val="0"/>
      <w:vanish w:val="0"/>
      <w:color w:val="954F72" w:themeColor="followedHyperlink"/>
      <w:sz w:val="24"/>
      <w:u w:val="single"/>
      <w:vertAlign w:val="baseline"/>
    </w:rPr>
  </w:style>
  <w:style w:type="paragraph" w:styleId="Revision">
    <w:name w:val="Revision"/>
    <w:hidden/>
    <w:uiPriority w:val="99"/>
    <w:semiHidden/>
    <w:rsid w:val="00A00DF9"/>
    <w:rPr>
      <w:rFonts w:ascii="Arial" w:hAnsi="Arial" w:cs="Arial"/>
    </w:rPr>
  </w:style>
  <w:style w:type="character" w:styleId="CommentReference">
    <w:name w:val="annotation reference"/>
    <w:basedOn w:val="DefaultParagraphFont"/>
    <w:uiPriority w:val="99"/>
    <w:semiHidden/>
    <w:unhideWhenUsed/>
    <w:rsid w:val="008A3F8E"/>
    <w:rPr>
      <w:sz w:val="16"/>
      <w:szCs w:val="16"/>
    </w:rPr>
  </w:style>
  <w:style w:type="paragraph" w:styleId="CommentText">
    <w:name w:val="annotation text"/>
    <w:basedOn w:val="Normal"/>
    <w:link w:val="CommentTextChar"/>
    <w:uiPriority w:val="99"/>
    <w:unhideWhenUsed/>
    <w:rsid w:val="008A3F8E"/>
    <w:pPr>
      <w:spacing w:line="240" w:lineRule="auto"/>
    </w:pPr>
    <w:rPr>
      <w:sz w:val="20"/>
      <w:szCs w:val="20"/>
    </w:rPr>
  </w:style>
  <w:style w:type="character" w:customStyle="1" w:styleId="CommentTextChar">
    <w:name w:val="Comment Text Char"/>
    <w:basedOn w:val="DefaultParagraphFont"/>
    <w:link w:val="CommentText"/>
    <w:uiPriority w:val="99"/>
    <w:rsid w:val="008A3F8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A3F8E"/>
    <w:rPr>
      <w:b/>
      <w:bCs/>
    </w:rPr>
  </w:style>
  <w:style w:type="character" w:customStyle="1" w:styleId="CommentSubjectChar">
    <w:name w:val="Comment Subject Char"/>
    <w:basedOn w:val="CommentTextChar"/>
    <w:link w:val="CommentSubject"/>
    <w:uiPriority w:val="99"/>
    <w:semiHidden/>
    <w:rsid w:val="008A3F8E"/>
    <w:rPr>
      <w:rFonts w:ascii="Arial" w:hAnsi="Arial" w:cs="Arial"/>
      <w:b/>
      <w:bCs/>
      <w:sz w:val="20"/>
      <w:szCs w:val="20"/>
    </w:rPr>
  </w:style>
  <w:style w:type="character" w:styleId="PageNumber">
    <w:name w:val="page number"/>
    <w:basedOn w:val="DefaultParagraphFont"/>
    <w:uiPriority w:val="99"/>
    <w:semiHidden/>
    <w:unhideWhenUsed/>
    <w:rsid w:val="00334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380527">
      <w:bodyDiv w:val="1"/>
      <w:marLeft w:val="0"/>
      <w:marRight w:val="0"/>
      <w:marTop w:val="0"/>
      <w:marBottom w:val="0"/>
      <w:divBdr>
        <w:top w:val="none" w:sz="0" w:space="0" w:color="auto"/>
        <w:left w:val="none" w:sz="0" w:space="0" w:color="auto"/>
        <w:bottom w:val="none" w:sz="0" w:space="0" w:color="auto"/>
        <w:right w:val="none" w:sz="0" w:space="0" w:color="auto"/>
      </w:divBdr>
    </w:div>
    <w:div w:id="1173446870">
      <w:bodyDiv w:val="1"/>
      <w:marLeft w:val="0"/>
      <w:marRight w:val="0"/>
      <w:marTop w:val="0"/>
      <w:marBottom w:val="0"/>
      <w:divBdr>
        <w:top w:val="none" w:sz="0" w:space="0" w:color="auto"/>
        <w:left w:val="none" w:sz="0" w:space="0" w:color="auto"/>
        <w:bottom w:val="none" w:sz="0" w:space="0" w:color="auto"/>
        <w:right w:val="none" w:sz="0" w:space="0" w:color="auto"/>
      </w:divBdr>
    </w:div>
    <w:div w:id="1410882400">
      <w:bodyDiv w:val="1"/>
      <w:marLeft w:val="0"/>
      <w:marRight w:val="0"/>
      <w:marTop w:val="0"/>
      <w:marBottom w:val="0"/>
      <w:divBdr>
        <w:top w:val="none" w:sz="0" w:space="0" w:color="auto"/>
        <w:left w:val="none" w:sz="0" w:space="0" w:color="auto"/>
        <w:bottom w:val="none" w:sz="0" w:space="0" w:color="auto"/>
        <w:right w:val="none" w:sz="0" w:space="0" w:color="auto"/>
      </w:divBdr>
    </w:div>
    <w:div w:id="1503282031">
      <w:bodyDiv w:val="1"/>
      <w:marLeft w:val="0"/>
      <w:marRight w:val="0"/>
      <w:marTop w:val="0"/>
      <w:marBottom w:val="0"/>
      <w:divBdr>
        <w:top w:val="none" w:sz="0" w:space="0" w:color="auto"/>
        <w:left w:val="none" w:sz="0" w:space="0" w:color="auto"/>
        <w:bottom w:val="none" w:sz="0" w:space="0" w:color="auto"/>
        <w:right w:val="none" w:sz="0" w:space="0" w:color="auto"/>
      </w:divBdr>
    </w:div>
    <w:div w:id="1520848446">
      <w:bodyDiv w:val="1"/>
      <w:marLeft w:val="0"/>
      <w:marRight w:val="0"/>
      <w:marTop w:val="0"/>
      <w:marBottom w:val="0"/>
      <w:divBdr>
        <w:top w:val="none" w:sz="0" w:space="0" w:color="auto"/>
        <w:left w:val="none" w:sz="0" w:space="0" w:color="auto"/>
        <w:bottom w:val="none" w:sz="0" w:space="0" w:color="auto"/>
        <w:right w:val="none" w:sz="0" w:space="0" w:color="auto"/>
      </w:divBdr>
    </w:div>
    <w:div w:id="177065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gov.au/government/document-collections/personal-leadershi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a.gov.au/organisation/public-sector-commission/leadership-expecta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gov.au/organisation/public-sector-commission/leadership-expectation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gov.au/government/document-collections/personal-leadersh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9012fe-9a92-4954-b0a7-853fae50b610">
      <Terms xmlns="http://schemas.microsoft.com/office/infopath/2007/PartnerControls"/>
    </lcf76f155ced4ddcb4097134ff3c332f>
    <TaxCatchAll xmlns="a991264a-cd92-493e-8f32-b2890e39072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D56267112CDC4FB0D8582F58FF7CE1" ma:contentTypeVersion="15" ma:contentTypeDescription="Create a new document." ma:contentTypeScope="" ma:versionID="f94d12dcad3854eb22abdf20dcc8580a">
  <xsd:schema xmlns:xsd="http://www.w3.org/2001/XMLSchema" xmlns:xs="http://www.w3.org/2001/XMLSchema" xmlns:p="http://schemas.microsoft.com/office/2006/metadata/properties" xmlns:ns2="c69012fe-9a92-4954-b0a7-853fae50b610" xmlns:ns3="a991264a-cd92-493e-8f32-b2890e390722" targetNamespace="http://schemas.microsoft.com/office/2006/metadata/properties" ma:root="true" ma:fieldsID="d35f0a9e787f4f6dea3268110f07c61b" ns2:_="" ns3:_="">
    <xsd:import namespace="c69012fe-9a92-4954-b0a7-853fae50b610"/>
    <xsd:import namespace="a991264a-cd92-493e-8f32-b2890e3907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012fe-9a92-4954-b0a7-853fae50b6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9dd5136-d8d3-43bd-8536-49417bb0680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91264a-cd92-493e-8f32-b2890e3907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62d6b8-114e-468a-aa26-e736c33b1f80}" ma:internalName="TaxCatchAll" ma:showField="CatchAllData" ma:web="a991264a-cd92-493e-8f32-b2890e39072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9C8040-AEBC-41D8-A94A-ECB21A268A77}">
  <ds:schemaRefs>
    <ds:schemaRef ds:uri="http://schemas.openxmlformats.org/officeDocument/2006/bibliography"/>
  </ds:schemaRefs>
</ds:datastoreItem>
</file>

<file path=customXml/itemProps2.xml><?xml version="1.0" encoding="utf-8"?>
<ds:datastoreItem xmlns:ds="http://schemas.openxmlformats.org/officeDocument/2006/customXml" ds:itemID="{0D486EFD-65BC-4DE6-A820-132570A6F814}">
  <ds:schemaRefs>
    <ds:schemaRef ds:uri="http://purl.org/dc/elements/1.1/"/>
    <ds:schemaRef ds:uri="http://schemas.microsoft.com/office/infopath/2007/PartnerControls"/>
    <ds:schemaRef ds:uri="http://www.w3.org/XML/1998/namespace"/>
    <ds:schemaRef ds:uri="http://purl.org/dc/terms/"/>
    <ds:schemaRef ds:uri="c69012fe-9a92-4954-b0a7-853fae50b610"/>
    <ds:schemaRef ds:uri="http://schemas.microsoft.com/office/2006/metadata/properties"/>
    <ds:schemaRef ds:uri="a991264a-cd92-493e-8f32-b2890e390722"/>
    <ds:schemaRef ds:uri="http://purl.org/dc/dcmitype/"/>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61143AB2-22D9-42F2-9DFC-08445147FB14}">
  <ds:schemaRefs>
    <ds:schemaRef ds:uri="http://schemas.microsoft.com/sharepoint/v3/contenttype/forms"/>
  </ds:schemaRefs>
</ds:datastoreItem>
</file>

<file path=customXml/itemProps4.xml><?xml version="1.0" encoding="utf-8"?>
<ds:datastoreItem xmlns:ds="http://schemas.openxmlformats.org/officeDocument/2006/customXml" ds:itemID="{35EE5D02-A64A-4E93-938B-97251AB97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012fe-9a92-4954-b0a7-853fae50b610"/>
    <ds:schemaRef ds:uri="a991264a-cd92-493e-8f32-b2890e390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1280</TotalTime>
  <Pages>4</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Monteiro, Gwen</dc:creator>
  <cp:keywords/>
  <dc:description/>
  <cp:lastModifiedBy>McDonald, Lorraine</cp:lastModifiedBy>
  <cp:revision>7</cp:revision>
  <cp:lastPrinted>2024-03-14T05:17:00Z</cp:lastPrinted>
  <dcterms:created xsi:type="dcterms:W3CDTF">2025-06-25T03:07:00Z</dcterms:created>
  <dcterms:modified xsi:type="dcterms:W3CDTF">2025-06-26T03:45:00Z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6cf7cf-4bad-475a-a557-f71d08d59046_Enabled">
    <vt:lpwstr>true</vt:lpwstr>
  </property>
  <property fmtid="{D5CDD505-2E9C-101B-9397-08002B2CF9AE}" pid="3" name="MSIP_Label_116cf7cf-4bad-475a-a557-f71d08d59046_SetDate">
    <vt:lpwstr>2023-09-22T04:59:41Z</vt:lpwstr>
  </property>
  <property fmtid="{D5CDD505-2E9C-101B-9397-08002B2CF9AE}" pid="4" name="MSIP_Label_116cf7cf-4bad-475a-a557-f71d08d59046_Method">
    <vt:lpwstr>Standard</vt:lpwstr>
  </property>
  <property fmtid="{D5CDD505-2E9C-101B-9397-08002B2CF9AE}" pid="5" name="MSIP_Label_116cf7cf-4bad-475a-a557-f71d08d59046_Name">
    <vt:lpwstr>OFFICIAL [ Office ]</vt:lpwstr>
  </property>
  <property fmtid="{D5CDD505-2E9C-101B-9397-08002B2CF9AE}" pid="6" name="MSIP_Label_116cf7cf-4bad-475a-a557-f71d08d59046_SiteId">
    <vt:lpwstr>d48144b5-571f-4b68-9721-e41bc0071e17</vt:lpwstr>
  </property>
  <property fmtid="{D5CDD505-2E9C-101B-9397-08002B2CF9AE}" pid="7" name="MSIP_Label_116cf7cf-4bad-475a-a557-f71d08d59046_ActionId">
    <vt:lpwstr>5ff54825-c302-4ef8-abce-08e0e4c14617</vt:lpwstr>
  </property>
  <property fmtid="{D5CDD505-2E9C-101B-9397-08002B2CF9AE}" pid="8" name="MSIP_Label_116cf7cf-4bad-475a-a557-f71d08d59046_ContentBits">
    <vt:lpwstr>0</vt:lpwstr>
  </property>
  <property fmtid="{D5CDD505-2E9C-101B-9397-08002B2CF9AE}" pid="9" name="_AdHocReviewCycleID">
    <vt:i4>367442089</vt:i4>
  </property>
  <property fmtid="{D5CDD505-2E9C-101B-9397-08002B2CF9AE}" pid="10" name="_NewReviewCycle">
    <vt:lpwstr/>
  </property>
  <property fmtid="{D5CDD505-2E9C-101B-9397-08002B2CF9AE}" pid="11" name="_EmailSubject">
    <vt:lpwstr>JDF Template - Response from People and Payroll Services [SR-0011424]</vt:lpwstr>
  </property>
  <property fmtid="{D5CDD505-2E9C-101B-9397-08002B2CF9AE}" pid="12" name="_AuthorEmail">
    <vt:lpwstr>Gavin.Seredynski@dpc.wa.gov.au</vt:lpwstr>
  </property>
  <property fmtid="{D5CDD505-2E9C-101B-9397-08002B2CF9AE}" pid="13" name="_AuthorEmailDisplayName">
    <vt:lpwstr>Seredynski, Gavin</vt:lpwstr>
  </property>
  <property fmtid="{D5CDD505-2E9C-101B-9397-08002B2CF9AE}" pid="14" name="_PreviousAdHocReviewCycleID">
    <vt:i4>2016571752</vt:i4>
  </property>
  <property fmtid="{D5CDD505-2E9C-101B-9397-08002B2CF9AE}" pid="15" name="ContentTypeId">
    <vt:lpwstr>0x01010070D56267112CDC4FB0D8582F58FF7CE1</vt:lpwstr>
  </property>
  <property fmtid="{D5CDD505-2E9C-101B-9397-08002B2CF9AE}" pid="16" name="_ReviewingToolsShownOnce">
    <vt:lpwstr/>
  </property>
</Properties>
</file>