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6A0E9BCD" w:rsidR="004A4EC3" w:rsidRPr="00C14680" w:rsidRDefault="009A3707" w:rsidP="00280C06">
      <w:pPr>
        <w:spacing w:before="60" w:line="360" w:lineRule="auto"/>
        <w:rPr>
          <w:rFonts w:eastAsiaTheme="majorEastAsia" w:cs="Times New Roman (Headings CS)"/>
          <w:b/>
          <w:color w:val="CC5733"/>
          <w:sz w:val="20"/>
          <w:szCs w:val="20"/>
        </w:rPr>
      </w:pPr>
      <w:r>
        <w:rPr>
          <w:rFonts w:eastAsiaTheme="majorEastAsia" w:cs="Times New Roman (Headings CS)"/>
          <w:b/>
          <w:color w:val="CC5733"/>
          <w:sz w:val="30"/>
          <w:szCs w:val="30"/>
        </w:rPr>
        <w:t>Policy Officer</w:t>
      </w:r>
      <w:r w:rsidR="004A4EC3" w:rsidRPr="00C14680">
        <w:rPr>
          <w:rFonts w:eastAsiaTheme="majorEastAsia" w:cs="Times New Roman (Headings CS)"/>
          <w:b/>
          <w:color w:val="CC5733"/>
          <w:sz w:val="30"/>
          <w:szCs w:val="30"/>
        </w:rPr>
        <w:t xml:space="preserve">, </w:t>
      </w:r>
      <w:r w:rsidR="006A1E28">
        <w:rPr>
          <w:rFonts w:eastAsiaTheme="majorEastAsia" w:cs="Times New Roman (Headings CS)"/>
          <w:b/>
          <w:color w:val="CC5733"/>
          <w:sz w:val="30"/>
          <w:szCs w:val="30"/>
        </w:rPr>
        <w:t xml:space="preserve">Level </w:t>
      </w:r>
      <w:r w:rsidR="007A57CB">
        <w:rPr>
          <w:rFonts w:eastAsiaTheme="majorEastAsia" w:cs="Times New Roman (Headings CS)"/>
          <w:b/>
          <w:color w:val="CC5733"/>
          <w:sz w:val="30"/>
          <w:szCs w:val="30"/>
        </w:rPr>
        <w:t>4</w:t>
      </w:r>
      <w:r w:rsidR="004A4EC3" w:rsidRPr="00C14680">
        <w:rPr>
          <w:rFonts w:eastAsiaTheme="majorEastAsia" w:cs="Times New Roman (Headings CS)"/>
          <w:b/>
          <w:color w:val="CC5733"/>
          <w:sz w:val="30"/>
          <w:szCs w:val="30"/>
        </w:rPr>
        <w:t xml:space="preserve"> (</w:t>
      </w:r>
      <w:r w:rsidR="00CE30E6">
        <w:rPr>
          <w:rFonts w:eastAsiaTheme="majorEastAsia" w:cs="Times New Roman (Headings CS)"/>
          <w:b/>
          <w:color w:val="CC5733"/>
          <w:sz w:val="30"/>
          <w:szCs w:val="30"/>
        </w:rPr>
        <w:t>DPC</w:t>
      </w:r>
      <w:r w:rsidR="00A8733D">
        <w:rPr>
          <w:rFonts w:eastAsiaTheme="majorEastAsia" w:cs="Times New Roman (Headings CS)"/>
          <w:b/>
          <w:color w:val="CC5733"/>
          <w:sz w:val="30"/>
          <w:szCs w:val="30"/>
        </w:rPr>
        <w:t>2504</w:t>
      </w:r>
      <w:r w:rsidR="00FD1F8B">
        <w:rPr>
          <w:rFonts w:eastAsiaTheme="majorEastAsia" w:cs="Times New Roman (Headings CS)"/>
          <w:b/>
          <w:color w:val="CC5733"/>
          <w:sz w:val="30"/>
          <w:szCs w:val="30"/>
        </w:rPr>
        <w:t>8</w:t>
      </w:r>
      <w:r w:rsidR="004A4EC3" w:rsidRPr="00C14680">
        <w:rPr>
          <w:rFonts w:eastAsiaTheme="majorEastAsia" w:cs="Times New Roman (Headings CS)"/>
          <w:b/>
          <w:color w:val="CC5733"/>
          <w:sz w:val="30"/>
          <w:szCs w:val="30"/>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CE30E6" w:rsidRPr="00D007E3" w14:paraId="361BAA74" w14:textId="77777777" w:rsidTr="009514B1">
        <w:trPr>
          <w:trHeight w:val="465"/>
        </w:trPr>
        <w:tc>
          <w:tcPr>
            <w:tcW w:w="2552" w:type="dxa"/>
          </w:tcPr>
          <w:p w14:paraId="77A0CA35" w14:textId="35EFD895" w:rsidR="00CE30E6" w:rsidRPr="00D007E3" w:rsidRDefault="00CE30E6" w:rsidP="00CE30E6">
            <w:pPr>
              <w:pStyle w:val="Formfields"/>
              <w:framePr w:hSpace="0" w:wrap="auto" w:vAnchor="margin" w:yAlign="inline"/>
              <w:suppressOverlap w:val="0"/>
              <w:rPr>
                <w:color w:val="000000" w:themeColor="text1"/>
              </w:rPr>
            </w:pPr>
            <w:r>
              <w:t>Division/</w:t>
            </w:r>
            <w:r w:rsidRPr="00D007E3">
              <w:t xml:space="preserve">Directorate: </w:t>
            </w:r>
          </w:p>
        </w:tc>
        <w:tc>
          <w:tcPr>
            <w:tcW w:w="2747" w:type="dxa"/>
          </w:tcPr>
          <w:p w14:paraId="6E7A5B79" w14:textId="76BC0358" w:rsidR="00CE30E6" w:rsidRPr="00D007E3" w:rsidRDefault="00CE30E6" w:rsidP="00CE30E6">
            <w:r>
              <w:t>Office of Digital Government</w:t>
            </w:r>
          </w:p>
        </w:tc>
        <w:tc>
          <w:tcPr>
            <w:tcW w:w="1647" w:type="dxa"/>
          </w:tcPr>
          <w:p w14:paraId="67141356" w14:textId="77777777" w:rsidR="00CE30E6" w:rsidRPr="00D007E3" w:rsidRDefault="00CE30E6" w:rsidP="00CE30E6">
            <w:pPr>
              <w:pStyle w:val="Formfields"/>
              <w:framePr w:hSpace="0" w:wrap="auto" w:vAnchor="margin" w:yAlign="inline"/>
              <w:suppressOverlap w:val="0"/>
            </w:pPr>
            <w:r w:rsidRPr="00D007E3">
              <w:t xml:space="preserve">Reports to: </w:t>
            </w:r>
          </w:p>
        </w:tc>
        <w:tc>
          <w:tcPr>
            <w:tcW w:w="2410" w:type="dxa"/>
          </w:tcPr>
          <w:p w14:paraId="0836B71E" w14:textId="45233E38" w:rsidR="00CE30E6" w:rsidRPr="006A1E28" w:rsidRDefault="00314273" w:rsidP="00CE30E6">
            <w:pPr>
              <w:rPr>
                <w:color w:val="000000" w:themeColor="text1"/>
              </w:rPr>
            </w:pPr>
            <w:r>
              <w:t>Director Data Governance</w:t>
            </w:r>
          </w:p>
        </w:tc>
      </w:tr>
      <w:tr w:rsidR="00CE30E6" w:rsidRPr="00D007E3" w14:paraId="77F9C586" w14:textId="77777777" w:rsidTr="009514B1">
        <w:trPr>
          <w:trHeight w:val="85"/>
        </w:trPr>
        <w:tc>
          <w:tcPr>
            <w:tcW w:w="2552" w:type="dxa"/>
          </w:tcPr>
          <w:p w14:paraId="5E66F297" w14:textId="1455B585" w:rsidR="00CE30E6" w:rsidRPr="00D007E3" w:rsidRDefault="00CE30E6" w:rsidP="00CE30E6">
            <w:pPr>
              <w:pStyle w:val="Default"/>
              <w:rPr>
                <w:color w:val="000000" w:themeColor="text1"/>
              </w:rPr>
            </w:pPr>
            <w:r w:rsidRPr="00D007E3">
              <w:rPr>
                <w:color w:val="CC5733"/>
              </w:rPr>
              <w:t xml:space="preserve">Branch/Section: </w:t>
            </w:r>
          </w:p>
        </w:tc>
        <w:tc>
          <w:tcPr>
            <w:tcW w:w="2747" w:type="dxa"/>
          </w:tcPr>
          <w:p w14:paraId="2E756B84" w14:textId="15C515DE" w:rsidR="00CE30E6" w:rsidRPr="00D007E3" w:rsidRDefault="00CE30E6" w:rsidP="00CE30E6">
            <w:r>
              <w:t>Data Unit</w:t>
            </w:r>
          </w:p>
        </w:tc>
        <w:tc>
          <w:tcPr>
            <w:tcW w:w="1647" w:type="dxa"/>
          </w:tcPr>
          <w:p w14:paraId="69AA6691" w14:textId="77777777" w:rsidR="00CE30E6" w:rsidRPr="00D007E3" w:rsidRDefault="00CE30E6" w:rsidP="00CE30E6">
            <w:pPr>
              <w:pStyle w:val="Formfields"/>
              <w:framePr w:hSpace="0" w:wrap="auto" w:vAnchor="margin" w:yAlign="inline"/>
              <w:suppressOverlap w:val="0"/>
            </w:pPr>
            <w:r w:rsidRPr="00D007E3">
              <w:t xml:space="preserve">Supervises: </w:t>
            </w:r>
          </w:p>
        </w:tc>
        <w:tc>
          <w:tcPr>
            <w:tcW w:w="2410" w:type="dxa"/>
          </w:tcPr>
          <w:p w14:paraId="492DAAAF" w14:textId="3CD1B551" w:rsidR="00CE30E6" w:rsidRPr="006A1E28" w:rsidRDefault="000B76C3" w:rsidP="00CE30E6">
            <w:pPr>
              <w:rPr>
                <w:color w:val="000000" w:themeColor="text1"/>
              </w:rPr>
            </w:pPr>
            <w:r>
              <w:t>0</w:t>
            </w:r>
            <w:r w:rsidR="00CE30E6" w:rsidRPr="00E528A2">
              <w:t xml:space="preserve"> FTE</w:t>
            </w:r>
          </w:p>
        </w:tc>
      </w:tr>
      <w:tr w:rsidR="004A4EC3" w:rsidRPr="00D007E3" w14:paraId="6BBCF80B" w14:textId="77777777" w:rsidTr="009514B1">
        <w:trPr>
          <w:trHeight w:val="434"/>
        </w:trPr>
        <w:tc>
          <w:tcPr>
            <w:tcW w:w="2552"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775F0025" w:rsidR="004A4EC3" w:rsidRPr="00D007E3" w:rsidRDefault="004E2FC6" w:rsidP="004A4EC3">
            <w:r>
              <w:t xml:space="preserve">West Perth </w:t>
            </w:r>
          </w:p>
        </w:tc>
        <w:tc>
          <w:tcPr>
            <w:tcW w:w="1647"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FE0D47">
      <w:pPr>
        <w:spacing w:line="240" w:lineRule="auto"/>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4A3655">
      <w:pPr>
        <w:spacing w:line="240" w:lineRule="auto"/>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6820AA32" w14:textId="011570F8" w:rsidR="00321C6A" w:rsidRPr="00AC20C8" w:rsidRDefault="00321C6A" w:rsidP="00AC20C8">
      <w:pPr>
        <w:pStyle w:val="Heading1"/>
        <w:jc w:val="both"/>
        <w:rPr>
          <w:b w:val="0"/>
          <w:bCs/>
          <w:color w:val="000000" w:themeColor="text1"/>
          <w:sz w:val="24"/>
          <w:szCs w:val="24"/>
        </w:rPr>
      </w:pPr>
      <w:r w:rsidRPr="00AC20C8">
        <w:rPr>
          <w:b w:val="0"/>
          <w:bCs/>
          <w:color w:val="000000" w:themeColor="text1"/>
          <w:sz w:val="24"/>
          <w:szCs w:val="24"/>
        </w:rPr>
        <w:t xml:space="preserve">The Data Unit is an interdisciplinary team dedicated to enhancing the use of evidence across the public sector to support better decision making and policy development.  We work with a wide range of agencies to address the State’s most complex social, health, environmental and economic challenges.  Our work plays an important role in shaping strategy, improving operations and strengthening service delivery across the entire public sector.  </w:t>
      </w:r>
    </w:p>
    <w:p w14:paraId="7D1D0209" w14:textId="250A8BBD" w:rsidR="00477E21" w:rsidRPr="00280C06" w:rsidRDefault="00A00DF9" w:rsidP="00280C06">
      <w:pPr>
        <w:pStyle w:val="Heading1"/>
        <w:rPr>
          <w:b w:val="0"/>
        </w:rPr>
      </w:pPr>
      <w:r w:rsidRPr="00280C06">
        <w:rPr>
          <w:sz w:val="24"/>
          <w:szCs w:val="24"/>
        </w:rPr>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7ED8A276" w14:textId="53ED0C9D" w:rsidR="00321C6A" w:rsidRPr="00AC20C8" w:rsidRDefault="00321C6A" w:rsidP="000B76C3">
      <w:pPr>
        <w:pStyle w:val="Heading3"/>
        <w:rPr>
          <w:b w:val="0"/>
          <w:bCs/>
          <w:sz w:val="24"/>
        </w:rPr>
      </w:pPr>
      <w:r w:rsidRPr="00AC20C8">
        <w:rPr>
          <w:b w:val="0"/>
          <w:bCs/>
          <w:sz w:val="24"/>
        </w:rPr>
        <w:t xml:space="preserve">This role supports interagency data sharing across the WA Government to enable better decision-making and improved outcomes. It ensures that data sharing is conducted in line with best practices and plays a key role in shaping the implementation of new </w:t>
      </w:r>
      <w:r w:rsidR="0014143C">
        <w:rPr>
          <w:b w:val="0"/>
          <w:bCs/>
          <w:sz w:val="24"/>
        </w:rPr>
        <w:t xml:space="preserve">legislation, the </w:t>
      </w:r>
      <w:r w:rsidR="000B68AD" w:rsidRPr="000B68AD">
        <w:rPr>
          <w:b w:val="0"/>
          <w:bCs/>
          <w:i/>
          <w:iCs/>
          <w:sz w:val="24"/>
        </w:rPr>
        <w:t xml:space="preserve">Privacy and Responsible Information Sharing Act 2024 </w:t>
      </w:r>
      <w:r w:rsidR="000B68AD" w:rsidRPr="000B68AD">
        <w:rPr>
          <w:b w:val="0"/>
          <w:bCs/>
          <w:sz w:val="24"/>
        </w:rPr>
        <w:t>(PRIS Act)</w:t>
      </w:r>
      <w:r w:rsidR="00953E99">
        <w:rPr>
          <w:b w:val="0"/>
          <w:bCs/>
          <w:sz w:val="24"/>
        </w:rPr>
        <w:t>,</w:t>
      </w:r>
      <w:r w:rsidR="000B68AD" w:rsidRPr="000B68AD">
        <w:rPr>
          <w:b w:val="0"/>
          <w:bCs/>
          <w:i/>
          <w:iCs/>
          <w:sz w:val="24"/>
        </w:rPr>
        <w:t xml:space="preserve"> </w:t>
      </w:r>
      <w:r w:rsidRPr="00AC20C8">
        <w:rPr>
          <w:b w:val="0"/>
          <w:bCs/>
          <w:sz w:val="24"/>
        </w:rPr>
        <w:t xml:space="preserve">across government. </w:t>
      </w:r>
    </w:p>
    <w:p w14:paraId="0CEB9285" w14:textId="712E2BE3" w:rsidR="00C5685B" w:rsidRDefault="000B76C3" w:rsidP="000B76C3">
      <w:pPr>
        <w:pStyle w:val="Heading3"/>
        <w:rPr>
          <w:rFonts w:cs="Calibri"/>
          <w14:ligatures w14:val="standardContextual"/>
        </w:rPr>
      </w:pPr>
      <w:bookmarkStart w:id="1" w:name="_Hlk198911017"/>
      <w:r w:rsidRPr="00CE30E6">
        <w:rPr>
          <w:rFonts w:cs="Arial"/>
          <w:sz w:val="24"/>
        </w:rPr>
        <w:t>Policy and Governance Development</w:t>
      </w:r>
    </w:p>
    <w:p w14:paraId="110C2A51" w14:textId="146D5D94" w:rsidR="00C5685B" w:rsidRPr="00321C6A" w:rsidRDefault="00321C6A" w:rsidP="00183BF9">
      <w:pPr>
        <w:pStyle w:val="ListParagraph"/>
        <w:numPr>
          <w:ilvl w:val="0"/>
          <w:numId w:val="18"/>
        </w:numPr>
        <w:ind w:left="360" w:hanging="360"/>
        <w:rPr>
          <w:color w:val="auto"/>
          <w:szCs w:val="24"/>
        </w:rPr>
      </w:pPr>
      <w:r>
        <w:rPr>
          <w:color w:val="auto"/>
          <w:szCs w:val="24"/>
        </w:rPr>
        <w:t xml:space="preserve">Assists </w:t>
      </w:r>
      <w:r w:rsidR="006F3C37">
        <w:rPr>
          <w:color w:val="auto"/>
          <w:szCs w:val="24"/>
        </w:rPr>
        <w:t>with</w:t>
      </w:r>
      <w:r w:rsidR="00C5685B" w:rsidRPr="00321C6A">
        <w:rPr>
          <w:color w:val="auto"/>
          <w:szCs w:val="24"/>
        </w:rPr>
        <w:t xml:space="preserve"> drafting </w:t>
      </w:r>
      <w:r w:rsidR="00C5685B" w:rsidRPr="00AC20C8">
        <w:rPr>
          <w:color w:val="auto"/>
          <w:szCs w:val="24"/>
        </w:rPr>
        <w:t>complex policy instruments</w:t>
      </w:r>
      <w:r w:rsidR="00C5685B" w:rsidRPr="00321C6A">
        <w:rPr>
          <w:color w:val="auto"/>
          <w:szCs w:val="24"/>
        </w:rPr>
        <w:t xml:space="preserve">, </w:t>
      </w:r>
      <w:r w:rsidR="00603752">
        <w:rPr>
          <w:color w:val="auto"/>
          <w:szCs w:val="24"/>
        </w:rPr>
        <w:t>including</w:t>
      </w:r>
      <w:r w:rsidR="00C5685B" w:rsidRPr="00321C6A">
        <w:rPr>
          <w:color w:val="auto"/>
          <w:szCs w:val="24"/>
        </w:rPr>
        <w:t xml:space="preserve"> regulations, policy and guidance</w:t>
      </w:r>
      <w:r w:rsidR="00603752">
        <w:rPr>
          <w:color w:val="auto"/>
          <w:szCs w:val="24"/>
        </w:rPr>
        <w:t xml:space="preserve"> materials</w:t>
      </w:r>
      <w:r w:rsidR="00297877" w:rsidRPr="00321C6A">
        <w:rPr>
          <w:color w:val="auto"/>
          <w:szCs w:val="24"/>
        </w:rPr>
        <w:t>.</w:t>
      </w:r>
      <w:r w:rsidR="00C5685B" w:rsidRPr="00321C6A">
        <w:rPr>
          <w:color w:val="auto"/>
          <w:szCs w:val="24"/>
        </w:rPr>
        <w:t xml:space="preserve"> </w:t>
      </w:r>
    </w:p>
    <w:p w14:paraId="3A692C78" w14:textId="10C70CFF" w:rsidR="00C5685B" w:rsidRPr="00321C6A" w:rsidRDefault="00C5685B" w:rsidP="00183BF9">
      <w:pPr>
        <w:pStyle w:val="ListParagraph"/>
        <w:numPr>
          <w:ilvl w:val="0"/>
          <w:numId w:val="18"/>
        </w:numPr>
        <w:ind w:left="360" w:hanging="360"/>
        <w:rPr>
          <w:color w:val="auto"/>
          <w:szCs w:val="24"/>
        </w:rPr>
      </w:pPr>
      <w:r w:rsidRPr="00321C6A">
        <w:rPr>
          <w:color w:val="auto"/>
          <w:szCs w:val="24"/>
        </w:rPr>
        <w:lastRenderedPageBreak/>
        <w:t>Collate</w:t>
      </w:r>
      <w:r w:rsidR="00E37545">
        <w:rPr>
          <w:color w:val="auto"/>
          <w:szCs w:val="24"/>
        </w:rPr>
        <w:t>s</w:t>
      </w:r>
      <w:r w:rsidR="00564D17">
        <w:rPr>
          <w:color w:val="auto"/>
          <w:szCs w:val="24"/>
        </w:rPr>
        <w:t xml:space="preserve"> </w:t>
      </w:r>
      <w:r w:rsidRPr="00321C6A">
        <w:rPr>
          <w:color w:val="auto"/>
          <w:szCs w:val="24"/>
        </w:rPr>
        <w:t xml:space="preserve">information to </w:t>
      </w:r>
      <w:r w:rsidRPr="00AC20C8">
        <w:rPr>
          <w:color w:val="auto"/>
          <w:szCs w:val="24"/>
        </w:rPr>
        <w:t>develop public reports</w:t>
      </w:r>
      <w:r w:rsidRPr="00321C6A">
        <w:rPr>
          <w:color w:val="auto"/>
          <w:szCs w:val="24"/>
        </w:rPr>
        <w:t xml:space="preserve"> on</w:t>
      </w:r>
      <w:r w:rsidR="00297877" w:rsidRPr="00321C6A">
        <w:rPr>
          <w:color w:val="auto"/>
          <w:szCs w:val="24"/>
        </w:rPr>
        <w:t xml:space="preserve"> matters including</w:t>
      </w:r>
      <w:r w:rsidRPr="00321C6A">
        <w:rPr>
          <w:color w:val="auto"/>
          <w:szCs w:val="24"/>
        </w:rPr>
        <w:t xml:space="preserve"> information breaches, uptake of reforms and sector readiness</w:t>
      </w:r>
      <w:r w:rsidR="00E37545">
        <w:rPr>
          <w:color w:val="auto"/>
          <w:szCs w:val="24"/>
        </w:rPr>
        <w:t>.</w:t>
      </w:r>
      <w:r w:rsidRPr="00321C6A">
        <w:rPr>
          <w:color w:val="auto"/>
          <w:szCs w:val="24"/>
        </w:rPr>
        <w:t xml:space="preserve"> </w:t>
      </w:r>
    </w:p>
    <w:p w14:paraId="0D3F8857" w14:textId="193045B0" w:rsidR="009A3707" w:rsidRPr="00321C6A" w:rsidRDefault="009A3707" w:rsidP="00183BF9">
      <w:pPr>
        <w:pStyle w:val="ListParagraph"/>
        <w:numPr>
          <w:ilvl w:val="0"/>
          <w:numId w:val="18"/>
        </w:numPr>
        <w:ind w:left="360" w:hanging="360"/>
        <w:rPr>
          <w:color w:val="auto"/>
          <w:szCs w:val="24"/>
        </w:rPr>
      </w:pPr>
      <w:r w:rsidRPr="00AC20C8">
        <w:rPr>
          <w:color w:val="auto"/>
          <w:szCs w:val="24"/>
        </w:rPr>
        <w:t>Develop</w:t>
      </w:r>
      <w:r w:rsidR="00E37545">
        <w:rPr>
          <w:color w:val="auto"/>
          <w:szCs w:val="24"/>
        </w:rPr>
        <w:t>s</w:t>
      </w:r>
      <w:r w:rsidRPr="00AC20C8">
        <w:rPr>
          <w:color w:val="auto"/>
          <w:szCs w:val="24"/>
        </w:rPr>
        <w:t xml:space="preserve"> templates and guidance </w:t>
      </w:r>
      <w:r w:rsidR="0019190E">
        <w:rPr>
          <w:color w:val="auto"/>
          <w:szCs w:val="24"/>
        </w:rPr>
        <w:t xml:space="preserve">material </w:t>
      </w:r>
      <w:r w:rsidRPr="00321C6A">
        <w:rPr>
          <w:color w:val="auto"/>
          <w:szCs w:val="24"/>
        </w:rPr>
        <w:t xml:space="preserve">to support </w:t>
      </w:r>
      <w:r w:rsidR="0019190E">
        <w:rPr>
          <w:color w:val="auto"/>
          <w:szCs w:val="24"/>
        </w:rPr>
        <w:t xml:space="preserve">the </w:t>
      </w:r>
      <w:r w:rsidRPr="00321C6A">
        <w:rPr>
          <w:color w:val="auto"/>
          <w:szCs w:val="24"/>
        </w:rPr>
        <w:t>update of information sharing reforms</w:t>
      </w:r>
      <w:r w:rsidR="00E37545">
        <w:rPr>
          <w:color w:val="auto"/>
          <w:szCs w:val="24"/>
        </w:rPr>
        <w:t>.</w:t>
      </w:r>
    </w:p>
    <w:p w14:paraId="094C2C7B" w14:textId="1F063CFF" w:rsidR="00297877" w:rsidRPr="00321C6A" w:rsidRDefault="0019190E" w:rsidP="00297877">
      <w:pPr>
        <w:pStyle w:val="ListParagraph"/>
        <w:numPr>
          <w:ilvl w:val="0"/>
          <w:numId w:val="18"/>
        </w:numPr>
        <w:ind w:left="360" w:hanging="360"/>
        <w:rPr>
          <w:color w:val="auto"/>
          <w:szCs w:val="24"/>
        </w:rPr>
      </w:pPr>
      <w:r>
        <w:t xml:space="preserve">Conducts </w:t>
      </w:r>
      <w:r w:rsidR="00297877" w:rsidRPr="00AC20C8">
        <w:t>research</w:t>
      </w:r>
      <w:r w:rsidR="00297877" w:rsidRPr="00321C6A">
        <w:t xml:space="preserve"> from </w:t>
      </w:r>
      <w:r w:rsidR="004B0648">
        <w:t>various</w:t>
      </w:r>
      <w:r w:rsidR="00297877" w:rsidRPr="00321C6A">
        <w:t xml:space="preserve"> sources to identify </w:t>
      </w:r>
      <w:r w:rsidR="00297877" w:rsidRPr="00AC20C8">
        <w:t>emerging issues</w:t>
      </w:r>
      <w:r w:rsidR="00297877" w:rsidRPr="00321C6A">
        <w:t xml:space="preserve"> and </w:t>
      </w:r>
      <w:r w:rsidR="00297877" w:rsidRPr="00321C6A">
        <w:rPr>
          <w:color w:val="auto"/>
          <w:szCs w:val="24"/>
        </w:rPr>
        <w:t>to improve the uptake and effectiveness of information sharing reforms</w:t>
      </w:r>
      <w:r w:rsidR="00E37545">
        <w:rPr>
          <w:color w:val="auto"/>
          <w:szCs w:val="24"/>
        </w:rPr>
        <w:t>.</w:t>
      </w:r>
    </w:p>
    <w:p w14:paraId="33DAA76D" w14:textId="17ADAE7B" w:rsidR="00297877" w:rsidRPr="00321C6A" w:rsidRDefault="00297877" w:rsidP="00297877">
      <w:pPr>
        <w:pStyle w:val="ListParagraph"/>
        <w:numPr>
          <w:ilvl w:val="0"/>
          <w:numId w:val="18"/>
        </w:numPr>
        <w:ind w:left="360" w:hanging="360"/>
        <w:rPr>
          <w:color w:val="auto"/>
          <w:szCs w:val="24"/>
        </w:rPr>
      </w:pPr>
      <w:r w:rsidRPr="00AC20C8">
        <w:rPr>
          <w:color w:val="auto"/>
          <w:szCs w:val="24"/>
        </w:rPr>
        <w:t>Support</w:t>
      </w:r>
      <w:r w:rsidR="00E37545">
        <w:rPr>
          <w:color w:val="auto"/>
          <w:szCs w:val="24"/>
        </w:rPr>
        <w:t>s</w:t>
      </w:r>
      <w:r w:rsidRPr="00AC20C8">
        <w:rPr>
          <w:color w:val="auto"/>
          <w:szCs w:val="24"/>
        </w:rPr>
        <w:t xml:space="preserve"> </w:t>
      </w:r>
      <w:r w:rsidR="004B0648">
        <w:rPr>
          <w:color w:val="auto"/>
          <w:szCs w:val="24"/>
        </w:rPr>
        <w:t xml:space="preserve">the </w:t>
      </w:r>
      <w:r w:rsidR="006D652D" w:rsidRPr="00AC20C8">
        <w:rPr>
          <w:color w:val="auto"/>
          <w:szCs w:val="24"/>
        </w:rPr>
        <w:t xml:space="preserve">development and </w:t>
      </w:r>
      <w:r w:rsidRPr="00AC20C8">
        <w:rPr>
          <w:color w:val="auto"/>
          <w:szCs w:val="24"/>
        </w:rPr>
        <w:t>implementation</w:t>
      </w:r>
      <w:r w:rsidRPr="00321C6A">
        <w:rPr>
          <w:color w:val="auto"/>
          <w:szCs w:val="24"/>
        </w:rPr>
        <w:t xml:space="preserve"> of </w:t>
      </w:r>
      <w:r w:rsidR="00654E9F" w:rsidRPr="00321C6A">
        <w:rPr>
          <w:color w:val="auto"/>
          <w:szCs w:val="24"/>
        </w:rPr>
        <w:t xml:space="preserve">whole-of-government </w:t>
      </w:r>
      <w:r w:rsidRPr="00321C6A">
        <w:rPr>
          <w:color w:val="auto"/>
          <w:szCs w:val="24"/>
        </w:rPr>
        <w:t>Information Management Policies.</w:t>
      </w:r>
    </w:p>
    <w:p w14:paraId="213D54DF" w14:textId="77777777" w:rsidR="000B76C3" w:rsidRDefault="000B76C3" w:rsidP="000B76C3"/>
    <w:p w14:paraId="1D15FFB4" w14:textId="77777777" w:rsidR="000B76C3" w:rsidRPr="00CE30E6" w:rsidRDefault="000B76C3" w:rsidP="000B76C3">
      <w:pPr>
        <w:pStyle w:val="Heading3"/>
        <w:rPr>
          <w:rFonts w:cs="Arial"/>
          <w:sz w:val="24"/>
        </w:rPr>
      </w:pPr>
      <w:r>
        <w:rPr>
          <w:rFonts w:cs="Arial"/>
          <w:sz w:val="24"/>
        </w:rPr>
        <w:t>E</w:t>
      </w:r>
      <w:r w:rsidRPr="00CE30E6">
        <w:rPr>
          <w:rFonts w:cs="Arial"/>
          <w:sz w:val="24"/>
        </w:rPr>
        <w:t xml:space="preserve">ngagement </w:t>
      </w:r>
      <w:r>
        <w:rPr>
          <w:rFonts w:cs="Arial"/>
          <w:sz w:val="24"/>
        </w:rPr>
        <w:t>and Communication</w:t>
      </w:r>
    </w:p>
    <w:p w14:paraId="7003BED6" w14:textId="4546AAAA" w:rsidR="00C5685B" w:rsidRPr="00321C6A" w:rsidRDefault="00C5685B" w:rsidP="00C5685B">
      <w:pPr>
        <w:pStyle w:val="ListParagraph"/>
        <w:numPr>
          <w:ilvl w:val="0"/>
          <w:numId w:val="18"/>
        </w:numPr>
        <w:ind w:left="360" w:hanging="360"/>
        <w:rPr>
          <w:color w:val="auto"/>
          <w:szCs w:val="24"/>
        </w:rPr>
      </w:pPr>
      <w:r w:rsidRPr="00321C6A">
        <w:rPr>
          <w:color w:val="auto"/>
          <w:szCs w:val="24"/>
        </w:rPr>
        <w:t>Provide</w:t>
      </w:r>
      <w:r w:rsidR="00E37545">
        <w:rPr>
          <w:color w:val="auto"/>
          <w:szCs w:val="24"/>
        </w:rPr>
        <w:t>s</w:t>
      </w:r>
      <w:r w:rsidRPr="00321C6A">
        <w:rPr>
          <w:color w:val="auto"/>
          <w:szCs w:val="24"/>
        </w:rPr>
        <w:t xml:space="preserve"> </w:t>
      </w:r>
      <w:r w:rsidRPr="00AC20C8">
        <w:rPr>
          <w:color w:val="auto"/>
          <w:szCs w:val="24"/>
        </w:rPr>
        <w:t>secretariat support</w:t>
      </w:r>
      <w:r w:rsidRPr="00321C6A">
        <w:rPr>
          <w:color w:val="auto"/>
          <w:szCs w:val="24"/>
        </w:rPr>
        <w:t xml:space="preserve"> for the PRIS Advisory Committee</w:t>
      </w:r>
      <w:r w:rsidR="005763CC">
        <w:rPr>
          <w:color w:val="auto"/>
          <w:szCs w:val="24"/>
        </w:rPr>
        <w:t>,</w:t>
      </w:r>
      <w:r w:rsidRPr="00321C6A">
        <w:rPr>
          <w:color w:val="auto"/>
          <w:szCs w:val="24"/>
        </w:rPr>
        <w:t xml:space="preserve"> </w:t>
      </w:r>
      <w:r w:rsidR="005763CC">
        <w:rPr>
          <w:color w:val="auto"/>
          <w:szCs w:val="24"/>
        </w:rPr>
        <w:t>improving</w:t>
      </w:r>
      <w:r w:rsidRPr="00321C6A">
        <w:rPr>
          <w:color w:val="auto"/>
          <w:szCs w:val="24"/>
        </w:rPr>
        <w:t xml:space="preserve"> the </w:t>
      </w:r>
      <w:r w:rsidR="00654E9F" w:rsidRPr="00321C6A">
        <w:rPr>
          <w:color w:val="auto"/>
          <w:szCs w:val="24"/>
        </w:rPr>
        <w:t xml:space="preserve">responsible </w:t>
      </w:r>
      <w:r w:rsidRPr="00321C6A">
        <w:rPr>
          <w:color w:val="auto"/>
          <w:szCs w:val="24"/>
        </w:rPr>
        <w:t xml:space="preserve">sharing and </w:t>
      </w:r>
      <w:r w:rsidR="00654E9F" w:rsidRPr="00321C6A">
        <w:rPr>
          <w:color w:val="auto"/>
          <w:szCs w:val="24"/>
        </w:rPr>
        <w:t xml:space="preserve">handling </w:t>
      </w:r>
      <w:r w:rsidRPr="00321C6A">
        <w:rPr>
          <w:color w:val="auto"/>
          <w:szCs w:val="24"/>
        </w:rPr>
        <w:t xml:space="preserve">of data </w:t>
      </w:r>
      <w:r w:rsidR="005763CC">
        <w:rPr>
          <w:color w:val="auto"/>
          <w:szCs w:val="24"/>
        </w:rPr>
        <w:t>across</w:t>
      </w:r>
      <w:r w:rsidRPr="00321C6A">
        <w:rPr>
          <w:color w:val="auto"/>
          <w:szCs w:val="24"/>
        </w:rPr>
        <w:t xml:space="preserve"> the sector</w:t>
      </w:r>
      <w:r w:rsidR="00E37545">
        <w:rPr>
          <w:color w:val="auto"/>
          <w:szCs w:val="24"/>
        </w:rPr>
        <w:t>.</w:t>
      </w:r>
    </w:p>
    <w:p w14:paraId="2189F775" w14:textId="44911E38" w:rsidR="00C5685B" w:rsidRPr="00321C6A" w:rsidRDefault="00C5685B" w:rsidP="00C5685B">
      <w:pPr>
        <w:pStyle w:val="ListParagraph"/>
        <w:numPr>
          <w:ilvl w:val="0"/>
          <w:numId w:val="18"/>
        </w:numPr>
        <w:ind w:left="360" w:hanging="360"/>
        <w:rPr>
          <w:color w:val="auto"/>
          <w:szCs w:val="24"/>
        </w:rPr>
      </w:pPr>
      <w:r w:rsidRPr="00321C6A">
        <w:rPr>
          <w:color w:val="auto"/>
          <w:szCs w:val="24"/>
        </w:rPr>
        <w:t>Support</w:t>
      </w:r>
      <w:r w:rsidR="00E37545">
        <w:rPr>
          <w:color w:val="auto"/>
          <w:szCs w:val="24"/>
        </w:rPr>
        <w:t>s</w:t>
      </w:r>
      <w:r w:rsidRPr="00321C6A">
        <w:rPr>
          <w:color w:val="auto"/>
          <w:szCs w:val="24"/>
        </w:rPr>
        <w:t xml:space="preserve"> </w:t>
      </w:r>
      <w:r w:rsidR="005763CC">
        <w:rPr>
          <w:color w:val="auto"/>
          <w:szCs w:val="24"/>
        </w:rPr>
        <w:t>the</w:t>
      </w:r>
      <w:r w:rsidRPr="00321C6A">
        <w:rPr>
          <w:color w:val="auto"/>
          <w:szCs w:val="24"/>
        </w:rPr>
        <w:t xml:space="preserve"> </w:t>
      </w:r>
      <w:r w:rsidRPr="00AC20C8">
        <w:rPr>
          <w:color w:val="auto"/>
          <w:szCs w:val="24"/>
        </w:rPr>
        <w:t xml:space="preserve">Information </w:t>
      </w:r>
      <w:r w:rsidR="00654E9F" w:rsidRPr="00AC20C8">
        <w:rPr>
          <w:color w:val="auto"/>
          <w:szCs w:val="24"/>
        </w:rPr>
        <w:t xml:space="preserve">Governance and Privacy </w:t>
      </w:r>
      <w:r w:rsidRPr="00AC20C8">
        <w:rPr>
          <w:color w:val="auto"/>
          <w:szCs w:val="24"/>
        </w:rPr>
        <w:t>Community of Practice</w:t>
      </w:r>
      <w:r w:rsidR="00373535">
        <w:rPr>
          <w:color w:val="auto"/>
          <w:szCs w:val="24"/>
        </w:rPr>
        <w:t>,</w:t>
      </w:r>
      <w:r w:rsidRPr="00321C6A">
        <w:rPr>
          <w:color w:val="auto"/>
          <w:szCs w:val="24"/>
        </w:rPr>
        <w:t xml:space="preserve"> support</w:t>
      </w:r>
      <w:r w:rsidR="00373535">
        <w:rPr>
          <w:color w:val="auto"/>
          <w:szCs w:val="24"/>
        </w:rPr>
        <w:t>ing</w:t>
      </w:r>
      <w:r w:rsidRPr="00321C6A">
        <w:rPr>
          <w:color w:val="auto"/>
          <w:szCs w:val="24"/>
        </w:rPr>
        <w:t xml:space="preserve"> </w:t>
      </w:r>
      <w:r w:rsidR="00373535">
        <w:rPr>
          <w:color w:val="auto"/>
          <w:szCs w:val="24"/>
        </w:rPr>
        <w:t xml:space="preserve">sector to </w:t>
      </w:r>
      <w:r w:rsidRPr="00321C6A">
        <w:rPr>
          <w:color w:val="auto"/>
          <w:szCs w:val="24"/>
        </w:rPr>
        <w:t>adher</w:t>
      </w:r>
      <w:r w:rsidR="00373535">
        <w:rPr>
          <w:color w:val="auto"/>
          <w:szCs w:val="24"/>
        </w:rPr>
        <w:t>e</w:t>
      </w:r>
      <w:r w:rsidRPr="00321C6A">
        <w:rPr>
          <w:color w:val="auto"/>
          <w:szCs w:val="24"/>
        </w:rPr>
        <w:t xml:space="preserve"> to best practice</w:t>
      </w:r>
      <w:r w:rsidR="00E37545">
        <w:rPr>
          <w:color w:val="auto"/>
          <w:szCs w:val="24"/>
        </w:rPr>
        <w:t>.</w:t>
      </w:r>
    </w:p>
    <w:p w14:paraId="1810E0B1" w14:textId="72BA2064" w:rsidR="00C5685B" w:rsidRPr="00321C6A" w:rsidRDefault="007A57CB" w:rsidP="00C5685B">
      <w:pPr>
        <w:pStyle w:val="ListParagraph"/>
        <w:numPr>
          <w:ilvl w:val="0"/>
          <w:numId w:val="18"/>
        </w:numPr>
        <w:ind w:left="360" w:hanging="360"/>
        <w:rPr>
          <w:color w:val="auto"/>
          <w:szCs w:val="24"/>
        </w:rPr>
      </w:pPr>
      <w:r w:rsidRPr="00321C6A">
        <w:t>Support</w:t>
      </w:r>
      <w:r w:rsidR="00373535">
        <w:t>s</w:t>
      </w:r>
      <w:r w:rsidR="00C5685B" w:rsidRPr="00321C6A">
        <w:t xml:space="preserve"> the </w:t>
      </w:r>
      <w:r w:rsidR="00C5685B" w:rsidRPr="00AC20C8">
        <w:t>development of written communications</w:t>
      </w:r>
      <w:r w:rsidR="00D62388">
        <w:t xml:space="preserve"> including</w:t>
      </w:r>
      <w:r w:rsidR="00C5685B" w:rsidRPr="00321C6A">
        <w:t xml:space="preserve"> website, FAQs, and catalogues.</w:t>
      </w:r>
    </w:p>
    <w:p w14:paraId="54149B22" w14:textId="34D958FD" w:rsidR="00297877" w:rsidRPr="00321C6A" w:rsidRDefault="00D62388" w:rsidP="00297877">
      <w:pPr>
        <w:pStyle w:val="ListParagraph"/>
        <w:numPr>
          <w:ilvl w:val="0"/>
          <w:numId w:val="18"/>
        </w:numPr>
        <w:ind w:left="360" w:hanging="360"/>
        <w:rPr>
          <w:color w:val="auto"/>
          <w:szCs w:val="24"/>
        </w:rPr>
      </w:pPr>
      <w:r>
        <w:t xml:space="preserve">Presents </w:t>
      </w:r>
      <w:r w:rsidR="00297877" w:rsidRPr="00AC20C8">
        <w:t>complex information</w:t>
      </w:r>
      <w:r w:rsidR="00297877" w:rsidRPr="00321C6A">
        <w:t xml:space="preserve"> and policy advice</w:t>
      </w:r>
      <w:r w:rsidR="009F2596">
        <w:t xml:space="preserve"> clearly and concisely</w:t>
      </w:r>
      <w:r w:rsidR="00297877" w:rsidRPr="00321C6A">
        <w:t xml:space="preserve"> </w:t>
      </w:r>
      <w:r w:rsidR="00297877" w:rsidRPr="00AC20C8">
        <w:t>to a diverse audience</w:t>
      </w:r>
      <w:r w:rsidR="009F2596">
        <w:t xml:space="preserve">, including </w:t>
      </w:r>
      <w:r w:rsidR="00297877" w:rsidRPr="00321C6A">
        <w:t>agencies, Ministers, technical staff</w:t>
      </w:r>
      <w:r w:rsidR="009F2596">
        <w:t>,</w:t>
      </w:r>
      <w:r w:rsidR="00297877" w:rsidRPr="00321C6A">
        <w:t xml:space="preserve"> and decision</w:t>
      </w:r>
      <w:r w:rsidR="009F2596">
        <w:t>-</w:t>
      </w:r>
      <w:r w:rsidR="00297877" w:rsidRPr="00321C6A">
        <w:t>makers</w:t>
      </w:r>
    </w:p>
    <w:p w14:paraId="35820A54" w14:textId="3B91816C" w:rsidR="00297877" w:rsidRPr="00321C6A" w:rsidRDefault="009F2596" w:rsidP="000B76C3">
      <w:pPr>
        <w:pStyle w:val="ListParagraph"/>
        <w:numPr>
          <w:ilvl w:val="0"/>
          <w:numId w:val="18"/>
        </w:numPr>
        <w:ind w:left="360" w:hanging="360"/>
        <w:rPr>
          <w:color w:val="auto"/>
          <w:szCs w:val="24"/>
        </w:rPr>
      </w:pPr>
      <w:r>
        <w:t>M</w:t>
      </w:r>
      <w:r w:rsidR="00297877" w:rsidRPr="00AC20C8">
        <w:t>onitor</w:t>
      </w:r>
      <w:r>
        <w:t>s</w:t>
      </w:r>
      <w:r w:rsidR="00297877" w:rsidRPr="00AC20C8">
        <w:t xml:space="preserve"> and </w:t>
      </w:r>
      <w:r w:rsidRPr="00AC20C8">
        <w:t>report</w:t>
      </w:r>
      <w:r>
        <w:t>s on</w:t>
      </w:r>
      <w:r w:rsidRPr="00321C6A">
        <w:t xml:space="preserve"> </w:t>
      </w:r>
      <w:r w:rsidR="00297877" w:rsidRPr="00321C6A">
        <w:t>key aspects of reform</w:t>
      </w:r>
      <w:r>
        <w:t xml:space="preserve"> implementation across</w:t>
      </w:r>
      <w:r w:rsidR="00297877" w:rsidRPr="00321C6A">
        <w:t xml:space="preserve"> the public sector.</w:t>
      </w:r>
    </w:p>
    <w:p w14:paraId="60B8E1A3" w14:textId="77777777" w:rsidR="000B76C3" w:rsidRDefault="000B76C3" w:rsidP="000B76C3"/>
    <w:p w14:paraId="6B33B0F2" w14:textId="77777777" w:rsidR="000B76C3" w:rsidRDefault="000B76C3" w:rsidP="000B76C3">
      <w:pPr>
        <w:pStyle w:val="Heading3"/>
        <w:rPr>
          <w:rFonts w:cs="Arial"/>
          <w:sz w:val="24"/>
        </w:rPr>
      </w:pPr>
      <w:r>
        <w:rPr>
          <w:rFonts w:cs="Arial"/>
          <w:sz w:val="24"/>
        </w:rPr>
        <w:t>Provides advice to the sector</w:t>
      </w:r>
    </w:p>
    <w:p w14:paraId="721C051D" w14:textId="158334A3" w:rsidR="00D720A6" w:rsidRPr="00321C6A" w:rsidRDefault="00D720A6" w:rsidP="00D720A6">
      <w:pPr>
        <w:pStyle w:val="ListParagraph"/>
        <w:numPr>
          <w:ilvl w:val="0"/>
          <w:numId w:val="18"/>
        </w:numPr>
        <w:ind w:left="360" w:hanging="360"/>
        <w:rPr>
          <w:color w:val="auto"/>
          <w:szCs w:val="24"/>
        </w:rPr>
      </w:pPr>
      <w:r w:rsidRPr="00AC20C8">
        <w:rPr>
          <w:color w:val="auto"/>
          <w:szCs w:val="24"/>
        </w:rPr>
        <w:t>Guide</w:t>
      </w:r>
      <w:r w:rsidR="009F2596">
        <w:rPr>
          <w:color w:val="auto"/>
          <w:szCs w:val="24"/>
        </w:rPr>
        <w:t>s</w:t>
      </w:r>
      <w:r w:rsidRPr="00AC20C8">
        <w:rPr>
          <w:color w:val="auto"/>
          <w:szCs w:val="24"/>
        </w:rPr>
        <w:t xml:space="preserve"> and assist</w:t>
      </w:r>
      <w:r w:rsidR="006F3C37">
        <w:rPr>
          <w:color w:val="auto"/>
          <w:szCs w:val="24"/>
        </w:rPr>
        <w:t>s</w:t>
      </w:r>
      <w:r w:rsidRPr="00AC20C8">
        <w:rPr>
          <w:color w:val="auto"/>
          <w:szCs w:val="24"/>
        </w:rPr>
        <w:t xml:space="preserve"> agencies</w:t>
      </w:r>
      <w:r w:rsidRPr="00321C6A">
        <w:rPr>
          <w:color w:val="auto"/>
          <w:szCs w:val="24"/>
        </w:rPr>
        <w:t xml:space="preserve"> </w:t>
      </w:r>
      <w:r w:rsidR="009F2596">
        <w:rPr>
          <w:color w:val="auto"/>
          <w:szCs w:val="24"/>
        </w:rPr>
        <w:t>in</w:t>
      </w:r>
      <w:r w:rsidRPr="00321C6A">
        <w:rPr>
          <w:color w:val="auto"/>
          <w:szCs w:val="24"/>
        </w:rPr>
        <w:t xml:space="preserve"> shar</w:t>
      </w:r>
      <w:r w:rsidR="009F2596">
        <w:rPr>
          <w:color w:val="auto"/>
          <w:szCs w:val="24"/>
        </w:rPr>
        <w:t>ing</w:t>
      </w:r>
      <w:r w:rsidRPr="00321C6A">
        <w:rPr>
          <w:color w:val="auto"/>
          <w:szCs w:val="24"/>
        </w:rPr>
        <w:t xml:space="preserve"> data under the PRIS Act</w:t>
      </w:r>
      <w:r w:rsidR="009F2596">
        <w:rPr>
          <w:color w:val="auto"/>
          <w:szCs w:val="24"/>
        </w:rPr>
        <w:t>,</w:t>
      </w:r>
      <w:r w:rsidR="006F3C37">
        <w:rPr>
          <w:color w:val="auto"/>
          <w:szCs w:val="24"/>
        </w:rPr>
        <w:t xml:space="preserve"> and</w:t>
      </w:r>
      <w:r w:rsidRPr="00321C6A">
        <w:rPr>
          <w:color w:val="auto"/>
          <w:szCs w:val="24"/>
        </w:rPr>
        <w:t xml:space="preserve"> </w:t>
      </w:r>
      <w:r w:rsidRPr="00321C6A">
        <w:t xml:space="preserve">translating </w:t>
      </w:r>
      <w:r w:rsidR="00654E9F" w:rsidRPr="00321C6A">
        <w:t>legislation</w:t>
      </w:r>
      <w:r w:rsidR="00631DFF">
        <w:t xml:space="preserve"> </w:t>
      </w:r>
      <w:r w:rsidRPr="00321C6A">
        <w:t xml:space="preserve">and complex concepts </w:t>
      </w:r>
      <w:r w:rsidR="00631DFF">
        <w:t xml:space="preserve">into practical advice </w:t>
      </w:r>
      <w:r w:rsidRPr="00321C6A">
        <w:t>as needed</w:t>
      </w:r>
    </w:p>
    <w:p w14:paraId="5BA49470" w14:textId="178EEE2A" w:rsidR="00C5685B" w:rsidRPr="00321C6A" w:rsidRDefault="00297877" w:rsidP="00C5685B">
      <w:pPr>
        <w:pStyle w:val="ListParagraph"/>
        <w:numPr>
          <w:ilvl w:val="0"/>
          <w:numId w:val="18"/>
        </w:numPr>
        <w:ind w:left="360" w:hanging="360"/>
        <w:rPr>
          <w:color w:val="auto"/>
          <w:szCs w:val="24"/>
        </w:rPr>
      </w:pPr>
      <w:r w:rsidRPr="00321C6A">
        <w:rPr>
          <w:color w:val="auto"/>
          <w:szCs w:val="24"/>
        </w:rPr>
        <w:t>Understand</w:t>
      </w:r>
      <w:r w:rsidR="006F3C37">
        <w:rPr>
          <w:color w:val="auto"/>
          <w:szCs w:val="24"/>
        </w:rPr>
        <w:t>s</w:t>
      </w:r>
      <w:r w:rsidRPr="00321C6A">
        <w:rPr>
          <w:color w:val="auto"/>
          <w:szCs w:val="24"/>
        </w:rPr>
        <w:t xml:space="preserve"> complex issues and p</w:t>
      </w:r>
      <w:r w:rsidR="00C5685B" w:rsidRPr="00321C6A">
        <w:rPr>
          <w:color w:val="auto"/>
          <w:szCs w:val="24"/>
        </w:rPr>
        <w:t>rovide</w:t>
      </w:r>
      <w:r w:rsidRPr="00321C6A">
        <w:rPr>
          <w:color w:val="auto"/>
          <w:szCs w:val="24"/>
        </w:rPr>
        <w:t>s</w:t>
      </w:r>
      <w:r w:rsidR="00C5685B" w:rsidRPr="00321C6A">
        <w:rPr>
          <w:color w:val="auto"/>
          <w:szCs w:val="24"/>
        </w:rPr>
        <w:t xml:space="preserve"> </w:t>
      </w:r>
      <w:r w:rsidR="00C5685B" w:rsidRPr="00AC20C8">
        <w:rPr>
          <w:color w:val="auto"/>
          <w:szCs w:val="24"/>
        </w:rPr>
        <w:t>advice</w:t>
      </w:r>
      <w:r w:rsidR="0007552F">
        <w:rPr>
          <w:color w:val="auto"/>
          <w:szCs w:val="24"/>
        </w:rPr>
        <w:t xml:space="preserve"> on</w:t>
      </w:r>
      <w:r w:rsidR="00C5685B" w:rsidRPr="00AC20C8">
        <w:rPr>
          <w:color w:val="auto"/>
          <w:szCs w:val="24"/>
        </w:rPr>
        <w:t xml:space="preserve"> data sharing</w:t>
      </w:r>
      <w:r w:rsidR="00C5685B" w:rsidRPr="00321C6A">
        <w:rPr>
          <w:color w:val="auto"/>
          <w:szCs w:val="24"/>
        </w:rPr>
        <w:t xml:space="preserve"> </w:t>
      </w:r>
      <w:r w:rsidR="0007552F">
        <w:rPr>
          <w:color w:val="auto"/>
          <w:szCs w:val="24"/>
        </w:rPr>
        <w:t xml:space="preserve">processes </w:t>
      </w:r>
      <w:r w:rsidR="00C5685B" w:rsidRPr="00321C6A">
        <w:rPr>
          <w:color w:val="auto"/>
          <w:szCs w:val="24"/>
        </w:rPr>
        <w:t>for key interagency projects</w:t>
      </w:r>
      <w:r w:rsidR="0007552F">
        <w:rPr>
          <w:color w:val="auto"/>
          <w:szCs w:val="24"/>
        </w:rPr>
        <w:t>.</w:t>
      </w:r>
      <w:r w:rsidR="00C5685B" w:rsidRPr="00321C6A">
        <w:rPr>
          <w:color w:val="auto"/>
          <w:szCs w:val="24"/>
        </w:rPr>
        <w:t xml:space="preserve"> </w:t>
      </w:r>
    </w:p>
    <w:p w14:paraId="3CA7F05D" w14:textId="56EC762D" w:rsidR="00C5685B" w:rsidRPr="00321C6A" w:rsidRDefault="00C5685B" w:rsidP="00C5685B">
      <w:pPr>
        <w:pStyle w:val="ListParagraph"/>
        <w:numPr>
          <w:ilvl w:val="0"/>
          <w:numId w:val="18"/>
        </w:numPr>
        <w:ind w:left="360" w:hanging="360"/>
        <w:rPr>
          <w:color w:val="auto"/>
          <w:szCs w:val="24"/>
        </w:rPr>
      </w:pPr>
      <w:r w:rsidRPr="00321C6A">
        <w:t>Maintain</w:t>
      </w:r>
      <w:r w:rsidR="0007552F">
        <w:t>s</w:t>
      </w:r>
      <w:r w:rsidRPr="00321C6A">
        <w:t xml:space="preserve"> </w:t>
      </w:r>
      <w:r w:rsidRPr="00AC20C8">
        <w:t>regular, productive communications</w:t>
      </w:r>
      <w:r w:rsidRPr="00321C6A">
        <w:t xml:space="preserve"> with agencies</w:t>
      </w:r>
      <w:r w:rsidR="0007552F">
        <w:t>,</w:t>
      </w:r>
      <w:r w:rsidRPr="00321C6A">
        <w:t xml:space="preserve"> </w:t>
      </w:r>
      <w:r w:rsidR="006D652D" w:rsidRPr="00321C6A">
        <w:t>including participation in</w:t>
      </w:r>
      <w:r w:rsidRPr="00321C6A">
        <w:t xml:space="preserve"> workshops and meetings as required.</w:t>
      </w:r>
    </w:p>
    <w:bookmarkEnd w:id="1"/>
    <w:p w14:paraId="32AF7670" w14:textId="3FD4712F"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CF070B">
      <w:pPr>
        <w:pStyle w:val="ListParagraph"/>
        <w:numPr>
          <w:ilvl w:val="0"/>
          <w:numId w:val="18"/>
        </w:numPr>
        <w:ind w:left="360" w:hanging="360"/>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CF070B">
      <w:pPr>
        <w:pStyle w:val="ListParagraph"/>
        <w:numPr>
          <w:ilvl w:val="0"/>
          <w:numId w:val="18"/>
        </w:numPr>
        <w:ind w:left="360" w:hanging="360"/>
        <w:rPr>
          <w:color w:val="auto"/>
          <w:szCs w:val="24"/>
        </w:rPr>
      </w:pPr>
      <w:r w:rsidRPr="00405858">
        <w:rPr>
          <w:color w:val="auto"/>
          <w:szCs w:val="24"/>
        </w:rPr>
        <w:t xml:space="preserve">Takes reasonable care to protect your own safety and health at work, and that of others by co-operating with the safety and health policies and procedures of the Department and complying with all provisions of the </w:t>
      </w:r>
      <w:r w:rsidRPr="00A972A4">
        <w:rPr>
          <w:i/>
          <w:iCs/>
          <w:color w:val="auto"/>
          <w:szCs w:val="24"/>
        </w:rPr>
        <w:t>Work Health and Safety Act 2020</w:t>
      </w:r>
    </w:p>
    <w:p w14:paraId="43976E59" w14:textId="77777777" w:rsidR="00F167A5" w:rsidRPr="0098212A" w:rsidRDefault="00F167A5" w:rsidP="00CF070B">
      <w:pPr>
        <w:pStyle w:val="ListParagraph"/>
        <w:numPr>
          <w:ilvl w:val="0"/>
          <w:numId w:val="18"/>
        </w:numPr>
        <w:ind w:left="360" w:hanging="360"/>
        <w:rPr>
          <w:color w:val="auto"/>
          <w:szCs w:val="24"/>
        </w:rPr>
      </w:pPr>
      <w:r w:rsidRPr="0098212A">
        <w:rPr>
          <w:color w:val="auto"/>
          <w:szCs w:val="24"/>
        </w:rPr>
        <w:t>Undertakes other duties as required.</w:t>
      </w:r>
    </w:p>
    <w:p w14:paraId="53311947" w14:textId="18BEF484" w:rsidR="00B646FB" w:rsidRPr="00070651" w:rsidRDefault="007421AD" w:rsidP="00C47631">
      <w:pPr>
        <w:pStyle w:val="Heading2"/>
        <w:rPr>
          <w:sz w:val="24"/>
          <w:szCs w:val="24"/>
        </w:rPr>
      </w:pPr>
      <w:r>
        <w:rPr>
          <w:sz w:val="24"/>
          <w:szCs w:val="24"/>
        </w:rPr>
        <w:t>Work Related Capabilities (Selection Criteria)</w:t>
      </w:r>
    </w:p>
    <w:p w14:paraId="05C2EF4A" w14:textId="28E2F281" w:rsidR="00922D19" w:rsidRPr="00321C6A" w:rsidRDefault="007A57CB" w:rsidP="00922D19">
      <w:pPr>
        <w:pStyle w:val="ListParagraph"/>
        <w:numPr>
          <w:ilvl w:val="0"/>
          <w:numId w:val="9"/>
        </w:numPr>
        <w:ind w:left="360" w:hanging="360"/>
        <w:rPr>
          <w:color w:val="auto"/>
        </w:rPr>
      </w:pPr>
      <w:r w:rsidRPr="00321C6A">
        <w:t>E</w:t>
      </w:r>
      <w:r w:rsidR="00922D19" w:rsidRPr="00321C6A">
        <w:t xml:space="preserve">xperience in </w:t>
      </w:r>
      <w:r w:rsidR="00CE30E6" w:rsidRPr="00AC20C8">
        <w:rPr>
          <w:color w:val="auto"/>
        </w:rPr>
        <w:t>policy and governance development</w:t>
      </w:r>
      <w:r w:rsidR="00543AE3">
        <w:rPr>
          <w:color w:val="auto"/>
        </w:rPr>
        <w:t>.</w:t>
      </w:r>
      <w:r w:rsidR="00A807BB" w:rsidRPr="00AC20C8">
        <w:rPr>
          <w:color w:val="auto"/>
        </w:rPr>
        <w:t xml:space="preserve"> </w:t>
      </w:r>
    </w:p>
    <w:p w14:paraId="5F38914E" w14:textId="0F74745F" w:rsidR="000B76C3" w:rsidRPr="00321C6A" w:rsidRDefault="00321C6A" w:rsidP="000B76C3">
      <w:pPr>
        <w:pStyle w:val="ListParagraph"/>
        <w:numPr>
          <w:ilvl w:val="0"/>
          <w:numId w:val="9"/>
        </w:numPr>
        <w:ind w:left="360" w:hanging="360"/>
        <w:rPr>
          <w:color w:val="auto"/>
        </w:rPr>
      </w:pPr>
      <w:r>
        <w:rPr>
          <w:color w:val="auto"/>
        </w:rPr>
        <w:lastRenderedPageBreak/>
        <w:t>Strong w</w:t>
      </w:r>
      <w:r w:rsidR="000B76C3" w:rsidRPr="00AC20C8">
        <w:rPr>
          <w:color w:val="auto"/>
        </w:rPr>
        <w:t>ritten communication skills</w:t>
      </w:r>
      <w:r w:rsidR="000B76C3" w:rsidRPr="00321C6A">
        <w:rPr>
          <w:color w:val="auto"/>
        </w:rPr>
        <w:t xml:space="preserve">, with the ability to develop </w:t>
      </w:r>
      <w:r w:rsidR="000B76C3" w:rsidRPr="00AC20C8">
        <w:rPr>
          <w:color w:val="auto"/>
        </w:rPr>
        <w:t>specialist instruments</w:t>
      </w:r>
      <w:r w:rsidR="000B76C3" w:rsidRPr="00321C6A">
        <w:rPr>
          <w:color w:val="auto"/>
        </w:rPr>
        <w:t xml:space="preserve"> such as policies, guidance</w:t>
      </w:r>
      <w:r w:rsidR="00CD3913">
        <w:rPr>
          <w:color w:val="auto"/>
        </w:rPr>
        <w:t xml:space="preserve"> </w:t>
      </w:r>
      <w:r w:rsidR="00543AE3">
        <w:rPr>
          <w:color w:val="auto"/>
        </w:rPr>
        <w:t>documents</w:t>
      </w:r>
      <w:r w:rsidR="000B76C3" w:rsidRPr="00321C6A">
        <w:rPr>
          <w:color w:val="auto"/>
        </w:rPr>
        <w:t>, reports</w:t>
      </w:r>
      <w:r w:rsidR="00543AE3">
        <w:rPr>
          <w:color w:val="auto"/>
        </w:rPr>
        <w:t xml:space="preserve">, and </w:t>
      </w:r>
      <w:r w:rsidR="000B76C3" w:rsidRPr="00321C6A">
        <w:rPr>
          <w:color w:val="auto"/>
        </w:rPr>
        <w:t>cabinet submissions</w:t>
      </w:r>
      <w:r w:rsidR="00543AE3">
        <w:rPr>
          <w:color w:val="auto"/>
        </w:rPr>
        <w:t>.</w:t>
      </w:r>
    </w:p>
    <w:p w14:paraId="63CA9728" w14:textId="01A1218E" w:rsidR="000B76C3" w:rsidRPr="00321C6A" w:rsidRDefault="00543AE3" w:rsidP="00A807BB">
      <w:pPr>
        <w:pStyle w:val="ListParagraph"/>
        <w:numPr>
          <w:ilvl w:val="0"/>
          <w:numId w:val="9"/>
        </w:numPr>
        <w:ind w:left="360" w:hanging="360"/>
        <w:rPr>
          <w:color w:val="auto"/>
        </w:rPr>
      </w:pPr>
      <w:r>
        <w:rPr>
          <w:color w:val="auto"/>
        </w:rPr>
        <w:t>Demonstrated a</w:t>
      </w:r>
      <w:r w:rsidR="000B76C3" w:rsidRPr="00321C6A">
        <w:rPr>
          <w:color w:val="auto"/>
        </w:rPr>
        <w:t xml:space="preserve">bility to </w:t>
      </w:r>
      <w:r w:rsidR="000B76C3" w:rsidRPr="00AC20C8">
        <w:rPr>
          <w:color w:val="auto"/>
        </w:rPr>
        <w:t>solve complex</w:t>
      </w:r>
      <w:r w:rsidR="00A807BB" w:rsidRPr="00AC20C8">
        <w:rPr>
          <w:color w:val="auto"/>
        </w:rPr>
        <w:t xml:space="preserve"> </w:t>
      </w:r>
      <w:r w:rsidR="000B76C3" w:rsidRPr="00AC20C8">
        <w:rPr>
          <w:color w:val="auto"/>
        </w:rPr>
        <w:t xml:space="preserve">problems, </w:t>
      </w:r>
      <w:r w:rsidR="000B76C3" w:rsidRPr="00321C6A">
        <w:rPr>
          <w:color w:val="auto"/>
        </w:rPr>
        <w:t>conduct research</w:t>
      </w:r>
      <w:r w:rsidR="00A807BB" w:rsidRPr="00321C6A">
        <w:rPr>
          <w:color w:val="auto"/>
        </w:rPr>
        <w:t>, and interpret legislation, policies and procedures</w:t>
      </w:r>
      <w:r>
        <w:rPr>
          <w:color w:val="auto"/>
        </w:rPr>
        <w:t>.</w:t>
      </w:r>
    </w:p>
    <w:p w14:paraId="7696EEA5" w14:textId="1D90EB2D" w:rsidR="00922D19" w:rsidRPr="00321C6A" w:rsidRDefault="007A57CB" w:rsidP="00922D19">
      <w:pPr>
        <w:pStyle w:val="ListParagraph"/>
        <w:numPr>
          <w:ilvl w:val="0"/>
          <w:numId w:val="9"/>
        </w:numPr>
        <w:ind w:left="360" w:hanging="360"/>
        <w:rPr>
          <w:color w:val="auto"/>
        </w:rPr>
      </w:pPr>
      <w:r w:rsidRPr="00321C6A">
        <w:t>E</w:t>
      </w:r>
      <w:r w:rsidR="00922D19" w:rsidRPr="00321C6A">
        <w:t xml:space="preserve">xperience </w:t>
      </w:r>
      <w:r w:rsidR="00922D19" w:rsidRPr="00AC20C8">
        <w:t xml:space="preserve">building and </w:t>
      </w:r>
      <w:r w:rsidR="00032198">
        <w:t>maintaining</w:t>
      </w:r>
      <w:r w:rsidR="00922D19" w:rsidRPr="00AC20C8">
        <w:t xml:space="preserve"> </w:t>
      </w:r>
      <w:r w:rsidR="00032198">
        <w:t xml:space="preserve">productive </w:t>
      </w:r>
      <w:r w:rsidR="00922D19" w:rsidRPr="00AC20C8">
        <w:t>relationships</w:t>
      </w:r>
      <w:r w:rsidR="00922D19" w:rsidRPr="00321C6A">
        <w:t xml:space="preserve"> with stakeholders to support outcomes. </w:t>
      </w:r>
    </w:p>
    <w:p w14:paraId="226E72C5" w14:textId="5B9AE5BA" w:rsidR="00155C99" w:rsidRPr="00321C6A" w:rsidRDefault="00922D19" w:rsidP="00C750B6">
      <w:pPr>
        <w:pStyle w:val="ListParagraph"/>
        <w:numPr>
          <w:ilvl w:val="0"/>
          <w:numId w:val="9"/>
        </w:numPr>
        <w:ind w:left="360" w:hanging="360"/>
        <w:rPr>
          <w:color w:val="auto"/>
        </w:rPr>
      </w:pPr>
      <w:r w:rsidRPr="00321C6A">
        <w:t xml:space="preserve">Demonstrated </w:t>
      </w:r>
      <w:r w:rsidRPr="00AC20C8">
        <w:t>organisational skills</w:t>
      </w:r>
      <w:r w:rsidR="00032198">
        <w:t>,</w:t>
      </w:r>
      <w:r w:rsidRPr="00321C6A">
        <w:t xml:space="preserve"> with the ability to manage competing priorities and meet deadlines</w:t>
      </w:r>
      <w:r w:rsidR="00032198">
        <w:t>.</w:t>
      </w:r>
      <w:r w:rsidRPr="00321C6A">
        <w:t xml:space="preserve"> </w:t>
      </w:r>
    </w:p>
    <w:p w14:paraId="75801A4B" w14:textId="77777777" w:rsidR="00C5685B" w:rsidRPr="00C750B6" w:rsidRDefault="00C5685B" w:rsidP="00C5685B">
      <w:pPr>
        <w:pStyle w:val="ListParagraph"/>
        <w:ind w:left="360"/>
        <w:rPr>
          <w:color w:val="auto"/>
        </w:rPr>
      </w:pPr>
    </w:p>
    <w:p w14:paraId="268B2915" w14:textId="22CCB5FD" w:rsidR="00631D31" w:rsidRPr="00D007E3" w:rsidRDefault="009514B1" w:rsidP="00C45F38">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5A2701">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019B14E0" w14:textId="26FFC92A" w:rsidR="002F64E9" w:rsidRPr="00C201F1" w:rsidRDefault="0014143C" w:rsidP="004B2309">
            <w:r>
              <w:rPr>
                <w:noProof/>
              </w:rPr>
              <w:drawing>
                <wp:inline distT="0" distB="0" distL="0" distR="0" wp14:anchorId="7E537DEB" wp14:editId="2A20AD01">
                  <wp:extent cx="872743" cy="736600"/>
                  <wp:effectExtent l="0" t="0" r="3810" b="6350"/>
                  <wp:docPr id="1318028649" name="Picture 1"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28649" name="Picture 1" descr="A black lin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547" cy="741498"/>
                          </a:xfrm>
                          <a:prstGeom prst="rect">
                            <a:avLst/>
                          </a:prstGeom>
                        </pic:spPr>
                      </pic:pic>
                    </a:graphicData>
                  </a:graphic>
                </wp:inline>
              </w:drawing>
            </w:r>
          </w:p>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49280D44" w:rsidR="005A2701" w:rsidRPr="00C47631" w:rsidRDefault="002F64E9" w:rsidP="00C47631">
            <w:pPr>
              <w:pStyle w:val="Heading3"/>
            </w:pPr>
            <w:r w:rsidRPr="002F64E9">
              <w:rPr>
                <w:sz w:val="24"/>
                <w:szCs w:val="22"/>
              </w:rPr>
              <w:t>People Services:</w:t>
            </w:r>
            <w:r w:rsidR="00AC20C8" w:rsidRPr="00AC20C8">
              <w:rPr>
                <w:noProof/>
                <w:sz w:val="24"/>
                <w:szCs w:val="22"/>
              </w:rPr>
              <w:drawing>
                <wp:inline distT="0" distB="0" distL="0" distR="0" wp14:anchorId="2091D47A" wp14:editId="6135D6EF">
                  <wp:extent cx="1843405" cy="519627"/>
                  <wp:effectExtent l="0" t="0" r="4445" b="0"/>
                  <wp:docPr id="1598178301"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78301" name="Picture 1" descr="A close up of a signature&#10;&#10;AI-generated content may be incorrect."/>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43405" cy="519627"/>
                          </a:xfrm>
                          <a:prstGeom prst="rect">
                            <a:avLst/>
                          </a:prstGeom>
                        </pic:spPr>
                      </pic:pic>
                    </a:graphicData>
                  </a:graphic>
                </wp:inline>
              </w:drawing>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54058FCF" w:rsidR="005A2701" w:rsidRPr="00070651" w:rsidRDefault="00AC73F2" w:rsidP="0033476B">
            <w:pPr>
              <w:pStyle w:val="Heading3"/>
              <w:ind w:hanging="113"/>
              <w:rPr>
                <w:sz w:val="24"/>
              </w:rPr>
            </w:pPr>
            <w:r w:rsidRPr="00070651">
              <w:rPr>
                <w:sz w:val="24"/>
              </w:rPr>
              <w:t>D</w:t>
            </w:r>
            <w:r w:rsidR="005A2701" w:rsidRPr="00070651">
              <w:rPr>
                <w:sz w:val="24"/>
              </w:rPr>
              <w:t>ate:</w:t>
            </w:r>
            <w:r w:rsidR="006F3C37">
              <w:rPr>
                <w:sz w:val="24"/>
              </w:rPr>
              <w:t xml:space="preserve"> </w:t>
            </w:r>
            <w:r w:rsidR="0014143C">
              <w:rPr>
                <w:sz w:val="24"/>
                <w:szCs w:val="22"/>
              </w:rPr>
              <w:t>26/06/25</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746ACDC4" w:rsidR="005A2701" w:rsidRPr="005A2701" w:rsidRDefault="002F64E9" w:rsidP="00C47631">
            <w:pPr>
              <w:pStyle w:val="Heading3"/>
            </w:pPr>
            <w:r w:rsidRPr="002F64E9">
              <w:rPr>
                <w:sz w:val="24"/>
                <w:szCs w:val="22"/>
              </w:rPr>
              <w:t>Date:</w:t>
            </w:r>
            <w:r w:rsidR="0014143C">
              <w:rPr>
                <w:sz w:val="24"/>
                <w:szCs w:val="22"/>
              </w:rPr>
              <w:t xml:space="preserve"> </w:t>
            </w:r>
            <w:r w:rsidR="00AC20C8">
              <w:rPr>
                <w:sz w:val="24"/>
                <w:szCs w:val="22"/>
              </w:rPr>
              <w:t>26/06/25</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280C06">
      <w:headerReference w:type="default" r:id="rId14"/>
      <w:footerReference w:type="even" r:id="rId15"/>
      <w:footerReference w:type="default" r:id="rId16"/>
      <w:headerReference w:type="first" r:id="rId17"/>
      <w:footerReference w:type="first" r:id="rId18"/>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6293" w14:textId="77777777" w:rsidR="005C0E1C" w:rsidRDefault="005C0E1C" w:rsidP="00756536">
      <w:pPr>
        <w:spacing w:after="0" w:line="240" w:lineRule="auto"/>
      </w:pPr>
      <w:r>
        <w:separator/>
      </w:r>
    </w:p>
  </w:endnote>
  <w:endnote w:type="continuationSeparator" w:id="0">
    <w:p w14:paraId="5C4B792D" w14:textId="77777777" w:rsidR="005C0E1C" w:rsidRDefault="005C0E1C"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7F896" w14:textId="77777777" w:rsidR="005C0E1C" w:rsidRDefault="005C0E1C" w:rsidP="00756536">
      <w:pPr>
        <w:spacing w:after="0" w:line="240" w:lineRule="auto"/>
      </w:pPr>
      <w:r>
        <w:separator/>
      </w:r>
    </w:p>
  </w:footnote>
  <w:footnote w:type="continuationSeparator" w:id="0">
    <w:p w14:paraId="495176B1" w14:textId="77777777" w:rsidR="005C0E1C" w:rsidRDefault="005C0E1C"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283932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40092370"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56EE"/>
    <w:multiLevelType w:val="hybridMultilevel"/>
    <w:tmpl w:val="677694C0"/>
    <w:lvl w:ilvl="0" w:tplc="FFFFFFFF">
      <w:start w:val="1"/>
      <w:numFmt w:val="decimal"/>
      <w:lvlText w:val="%1."/>
      <w:lvlJc w:val="left"/>
      <w:pPr>
        <w:ind w:left="1447" w:hanging="540"/>
      </w:pPr>
      <w:rPr>
        <w:rFonts w:hint="default"/>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FB06DE"/>
    <w:multiLevelType w:val="hybridMultilevel"/>
    <w:tmpl w:val="6BB0D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71C61"/>
    <w:multiLevelType w:val="hybridMultilevel"/>
    <w:tmpl w:val="2C4CABCC"/>
    <w:lvl w:ilvl="0" w:tplc="0C090003">
      <w:start w:val="1"/>
      <w:numFmt w:val="bullet"/>
      <w:lvlText w:val="o"/>
      <w:lvlJc w:val="left"/>
      <w:pPr>
        <w:ind w:left="1080" w:hanging="72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065B2C"/>
    <w:multiLevelType w:val="hybridMultilevel"/>
    <w:tmpl w:val="C6B8FDA2"/>
    <w:lvl w:ilvl="0" w:tplc="FFFFFFFF">
      <w:start w:val="1"/>
      <w:numFmt w:val="bullet"/>
      <w:lvlText w:val=""/>
      <w:lvlJc w:val="left"/>
      <w:pPr>
        <w:ind w:left="108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1" w15:restartNumberingAfterBreak="0">
    <w:nsid w:val="7BE60CAC"/>
    <w:multiLevelType w:val="hybridMultilevel"/>
    <w:tmpl w:val="83249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8785469">
    <w:abstractNumId w:val="7"/>
  </w:num>
  <w:num w:numId="2" w16cid:durableId="137627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5"/>
  </w:num>
  <w:num w:numId="4" w16cid:durableId="1326056679">
    <w:abstractNumId w:val="15"/>
  </w:num>
  <w:num w:numId="5" w16cid:durableId="165638337">
    <w:abstractNumId w:val="12"/>
  </w:num>
  <w:num w:numId="6" w16cid:durableId="1123695853">
    <w:abstractNumId w:val="11"/>
  </w:num>
  <w:num w:numId="7" w16cid:durableId="1581137968">
    <w:abstractNumId w:val="4"/>
  </w:num>
  <w:num w:numId="8" w16cid:durableId="210381380">
    <w:abstractNumId w:val="6"/>
  </w:num>
  <w:num w:numId="9" w16cid:durableId="1667249357">
    <w:abstractNumId w:val="20"/>
  </w:num>
  <w:num w:numId="10" w16cid:durableId="1636334645">
    <w:abstractNumId w:val="14"/>
  </w:num>
  <w:num w:numId="11" w16cid:durableId="1816409002">
    <w:abstractNumId w:val="9"/>
  </w:num>
  <w:num w:numId="12" w16cid:durableId="1771470451">
    <w:abstractNumId w:val="10"/>
  </w:num>
  <w:num w:numId="13" w16cid:durableId="2042582278">
    <w:abstractNumId w:val="19"/>
  </w:num>
  <w:num w:numId="14" w16cid:durableId="301085470">
    <w:abstractNumId w:val="16"/>
  </w:num>
  <w:num w:numId="15" w16cid:durableId="24185399">
    <w:abstractNumId w:val="2"/>
  </w:num>
  <w:num w:numId="16" w16cid:durableId="169490687">
    <w:abstractNumId w:val="13"/>
  </w:num>
  <w:num w:numId="17" w16cid:durableId="629700953">
    <w:abstractNumId w:val="1"/>
  </w:num>
  <w:num w:numId="18" w16cid:durableId="1341004227">
    <w:abstractNumId w:val="17"/>
  </w:num>
  <w:num w:numId="19" w16cid:durableId="965308136">
    <w:abstractNumId w:val="3"/>
  </w:num>
  <w:num w:numId="20" w16cid:durableId="1987128938">
    <w:abstractNumId w:val="18"/>
  </w:num>
  <w:num w:numId="21" w16cid:durableId="2041120948">
    <w:abstractNumId w:val="8"/>
  </w:num>
  <w:num w:numId="22" w16cid:durableId="630399484">
    <w:abstractNumId w:val="21"/>
  </w:num>
  <w:num w:numId="23" w16cid:durableId="88768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00AEA"/>
    <w:rsid w:val="00004B1E"/>
    <w:rsid w:val="00021A3D"/>
    <w:rsid w:val="00025438"/>
    <w:rsid w:val="00032198"/>
    <w:rsid w:val="00044FF3"/>
    <w:rsid w:val="00051CBF"/>
    <w:rsid w:val="0006478A"/>
    <w:rsid w:val="00070651"/>
    <w:rsid w:val="0007552F"/>
    <w:rsid w:val="00083B4F"/>
    <w:rsid w:val="000A6FA1"/>
    <w:rsid w:val="000B070E"/>
    <w:rsid w:val="000B68AD"/>
    <w:rsid w:val="000B76C3"/>
    <w:rsid w:val="000D0AF3"/>
    <w:rsid w:val="000D0F48"/>
    <w:rsid w:val="001028F7"/>
    <w:rsid w:val="00105B7E"/>
    <w:rsid w:val="00132369"/>
    <w:rsid w:val="001341B6"/>
    <w:rsid w:val="0014143C"/>
    <w:rsid w:val="00145E44"/>
    <w:rsid w:val="00155C99"/>
    <w:rsid w:val="001633FD"/>
    <w:rsid w:val="001744F5"/>
    <w:rsid w:val="00176A80"/>
    <w:rsid w:val="00183BF9"/>
    <w:rsid w:val="0019190E"/>
    <w:rsid w:val="001A4A74"/>
    <w:rsid w:val="001A50FB"/>
    <w:rsid w:val="001B27CF"/>
    <w:rsid w:val="001B52F9"/>
    <w:rsid w:val="001B54FD"/>
    <w:rsid w:val="001B7A87"/>
    <w:rsid w:val="001B7CD1"/>
    <w:rsid w:val="001D197E"/>
    <w:rsid w:val="001D47CE"/>
    <w:rsid w:val="00204930"/>
    <w:rsid w:val="002156DB"/>
    <w:rsid w:val="002342EF"/>
    <w:rsid w:val="002406EA"/>
    <w:rsid w:val="00246EF2"/>
    <w:rsid w:val="0024718E"/>
    <w:rsid w:val="00260B8D"/>
    <w:rsid w:val="002656BC"/>
    <w:rsid w:val="00272434"/>
    <w:rsid w:val="00280169"/>
    <w:rsid w:val="00280C06"/>
    <w:rsid w:val="00283EB7"/>
    <w:rsid w:val="002843C7"/>
    <w:rsid w:val="002874CE"/>
    <w:rsid w:val="002937C1"/>
    <w:rsid w:val="002956EB"/>
    <w:rsid w:val="00296FEC"/>
    <w:rsid w:val="00297877"/>
    <w:rsid w:val="002B657B"/>
    <w:rsid w:val="002D3E24"/>
    <w:rsid w:val="002E096E"/>
    <w:rsid w:val="002F107E"/>
    <w:rsid w:val="002F56FB"/>
    <w:rsid w:val="002F64E9"/>
    <w:rsid w:val="00300C8A"/>
    <w:rsid w:val="0030375D"/>
    <w:rsid w:val="00314273"/>
    <w:rsid w:val="00321C6A"/>
    <w:rsid w:val="0033476B"/>
    <w:rsid w:val="003522C2"/>
    <w:rsid w:val="00360B20"/>
    <w:rsid w:val="0036514A"/>
    <w:rsid w:val="00373535"/>
    <w:rsid w:val="00394896"/>
    <w:rsid w:val="003958FD"/>
    <w:rsid w:val="003A0365"/>
    <w:rsid w:val="003A12FE"/>
    <w:rsid w:val="003A3903"/>
    <w:rsid w:val="003A787A"/>
    <w:rsid w:val="003C1C26"/>
    <w:rsid w:val="003C47A8"/>
    <w:rsid w:val="003D0A66"/>
    <w:rsid w:val="003E36B6"/>
    <w:rsid w:val="00414112"/>
    <w:rsid w:val="00422282"/>
    <w:rsid w:val="00430199"/>
    <w:rsid w:val="00430D2F"/>
    <w:rsid w:val="00451463"/>
    <w:rsid w:val="00462800"/>
    <w:rsid w:val="004658EA"/>
    <w:rsid w:val="00471F7F"/>
    <w:rsid w:val="00477E21"/>
    <w:rsid w:val="00494398"/>
    <w:rsid w:val="00497F38"/>
    <w:rsid w:val="004A3655"/>
    <w:rsid w:val="004A4EC3"/>
    <w:rsid w:val="004A74EF"/>
    <w:rsid w:val="004B0648"/>
    <w:rsid w:val="004B2309"/>
    <w:rsid w:val="004C57E4"/>
    <w:rsid w:val="004C7E95"/>
    <w:rsid w:val="004E000D"/>
    <w:rsid w:val="004E1073"/>
    <w:rsid w:val="004E2FC6"/>
    <w:rsid w:val="004F457E"/>
    <w:rsid w:val="005257D4"/>
    <w:rsid w:val="00536F4B"/>
    <w:rsid w:val="00543AE3"/>
    <w:rsid w:val="00553A91"/>
    <w:rsid w:val="00564D17"/>
    <w:rsid w:val="0057229A"/>
    <w:rsid w:val="005763CC"/>
    <w:rsid w:val="005A2699"/>
    <w:rsid w:val="005A2701"/>
    <w:rsid w:val="005B4ABE"/>
    <w:rsid w:val="005C0E1C"/>
    <w:rsid w:val="005C31FF"/>
    <w:rsid w:val="005E2416"/>
    <w:rsid w:val="005F483B"/>
    <w:rsid w:val="005F5F54"/>
    <w:rsid w:val="00601500"/>
    <w:rsid w:val="00603752"/>
    <w:rsid w:val="00631D31"/>
    <w:rsid w:val="00631DFF"/>
    <w:rsid w:val="00647E4B"/>
    <w:rsid w:val="00650391"/>
    <w:rsid w:val="00654E9F"/>
    <w:rsid w:val="00663B85"/>
    <w:rsid w:val="0068201A"/>
    <w:rsid w:val="00686F75"/>
    <w:rsid w:val="006963C4"/>
    <w:rsid w:val="006A1E28"/>
    <w:rsid w:val="006C1C4D"/>
    <w:rsid w:val="006C2F8C"/>
    <w:rsid w:val="006C3FBC"/>
    <w:rsid w:val="006D03B1"/>
    <w:rsid w:val="006D652D"/>
    <w:rsid w:val="006E55AC"/>
    <w:rsid w:val="006F17A8"/>
    <w:rsid w:val="006F3C37"/>
    <w:rsid w:val="006F6B55"/>
    <w:rsid w:val="00721C5E"/>
    <w:rsid w:val="00727985"/>
    <w:rsid w:val="00733555"/>
    <w:rsid w:val="007421AD"/>
    <w:rsid w:val="00746389"/>
    <w:rsid w:val="00756536"/>
    <w:rsid w:val="007734E6"/>
    <w:rsid w:val="0078067E"/>
    <w:rsid w:val="007A0EFF"/>
    <w:rsid w:val="007A1F18"/>
    <w:rsid w:val="007A57CB"/>
    <w:rsid w:val="007B2076"/>
    <w:rsid w:val="007C04CC"/>
    <w:rsid w:val="007D5860"/>
    <w:rsid w:val="007E7FB0"/>
    <w:rsid w:val="008000AD"/>
    <w:rsid w:val="0081310B"/>
    <w:rsid w:val="00814628"/>
    <w:rsid w:val="0084252E"/>
    <w:rsid w:val="008531F0"/>
    <w:rsid w:val="008561C8"/>
    <w:rsid w:val="00863267"/>
    <w:rsid w:val="00873634"/>
    <w:rsid w:val="00892424"/>
    <w:rsid w:val="00893679"/>
    <w:rsid w:val="008947AE"/>
    <w:rsid w:val="008A3F8E"/>
    <w:rsid w:val="008C5738"/>
    <w:rsid w:val="008D24CB"/>
    <w:rsid w:val="008E0484"/>
    <w:rsid w:val="008E36D7"/>
    <w:rsid w:val="008E3C90"/>
    <w:rsid w:val="009075E2"/>
    <w:rsid w:val="00910F20"/>
    <w:rsid w:val="00922D19"/>
    <w:rsid w:val="00932EF4"/>
    <w:rsid w:val="00941136"/>
    <w:rsid w:val="009514B1"/>
    <w:rsid w:val="00953E99"/>
    <w:rsid w:val="0095755A"/>
    <w:rsid w:val="00961CC9"/>
    <w:rsid w:val="00971722"/>
    <w:rsid w:val="009A3707"/>
    <w:rsid w:val="009C0ED6"/>
    <w:rsid w:val="009F2596"/>
    <w:rsid w:val="00A00DF9"/>
    <w:rsid w:val="00A2480E"/>
    <w:rsid w:val="00A254A1"/>
    <w:rsid w:val="00A274B9"/>
    <w:rsid w:val="00A40911"/>
    <w:rsid w:val="00A518E1"/>
    <w:rsid w:val="00A72186"/>
    <w:rsid w:val="00A807BB"/>
    <w:rsid w:val="00A86D4C"/>
    <w:rsid w:val="00A8733D"/>
    <w:rsid w:val="00A93FF1"/>
    <w:rsid w:val="00A972A4"/>
    <w:rsid w:val="00AA416A"/>
    <w:rsid w:val="00AA4641"/>
    <w:rsid w:val="00AC20C8"/>
    <w:rsid w:val="00AC584F"/>
    <w:rsid w:val="00AC73F2"/>
    <w:rsid w:val="00AE1B75"/>
    <w:rsid w:val="00AE5EBA"/>
    <w:rsid w:val="00B1554C"/>
    <w:rsid w:val="00B31672"/>
    <w:rsid w:val="00B646FB"/>
    <w:rsid w:val="00B67BB6"/>
    <w:rsid w:val="00B8027B"/>
    <w:rsid w:val="00B96037"/>
    <w:rsid w:val="00BB2C4B"/>
    <w:rsid w:val="00BB541C"/>
    <w:rsid w:val="00BC22F7"/>
    <w:rsid w:val="00BC5C3F"/>
    <w:rsid w:val="00BD1B8C"/>
    <w:rsid w:val="00BE2BC3"/>
    <w:rsid w:val="00BE3DE8"/>
    <w:rsid w:val="00C12F9A"/>
    <w:rsid w:val="00C14680"/>
    <w:rsid w:val="00C15B56"/>
    <w:rsid w:val="00C201F1"/>
    <w:rsid w:val="00C26E45"/>
    <w:rsid w:val="00C44915"/>
    <w:rsid w:val="00C45F38"/>
    <w:rsid w:val="00C47631"/>
    <w:rsid w:val="00C54A97"/>
    <w:rsid w:val="00C5685B"/>
    <w:rsid w:val="00C639AF"/>
    <w:rsid w:val="00C750B6"/>
    <w:rsid w:val="00C86886"/>
    <w:rsid w:val="00CD00BF"/>
    <w:rsid w:val="00CD0B02"/>
    <w:rsid w:val="00CD3913"/>
    <w:rsid w:val="00CE30E6"/>
    <w:rsid w:val="00CF070B"/>
    <w:rsid w:val="00D007E3"/>
    <w:rsid w:val="00D173A8"/>
    <w:rsid w:val="00D2368C"/>
    <w:rsid w:val="00D62388"/>
    <w:rsid w:val="00D718AA"/>
    <w:rsid w:val="00D71E76"/>
    <w:rsid w:val="00D720A6"/>
    <w:rsid w:val="00D732A5"/>
    <w:rsid w:val="00D7570D"/>
    <w:rsid w:val="00D801DC"/>
    <w:rsid w:val="00D829E5"/>
    <w:rsid w:val="00D84552"/>
    <w:rsid w:val="00DB08AF"/>
    <w:rsid w:val="00DF1A44"/>
    <w:rsid w:val="00DF4B7C"/>
    <w:rsid w:val="00DF7BA5"/>
    <w:rsid w:val="00E02BA3"/>
    <w:rsid w:val="00E14F0F"/>
    <w:rsid w:val="00E20BE0"/>
    <w:rsid w:val="00E23326"/>
    <w:rsid w:val="00E37545"/>
    <w:rsid w:val="00E42672"/>
    <w:rsid w:val="00E4641B"/>
    <w:rsid w:val="00E61CE6"/>
    <w:rsid w:val="00EA11AC"/>
    <w:rsid w:val="00EC7340"/>
    <w:rsid w:val="00ED18BE"/>
    <w:rsid w:val="00ED68B9"/>
    <w:rsid w:val="00ED7D74"/>
    <w:rsid w:val="00EE13A1"/>
    <w:rsid w:val="00EF2F5D"/>
    <w:rsid w:val="00F02587"/>
    <w:rsid w:val="00F156D2"/>
    <w:rsid w:val="00F167A5"/>
    <w:rsid w:val="00F51C71"/>
    <w:rsid w:val="00F95B4C"/>
    <w:rsid w:val="00FA1359"/>
    <w:rsid w:val="00FA7287"/>
    <w:rsid w:val="00FB2D81"/>
    <w:rsid w:val="00FD1F8B"/>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link w:val="ListParagraphChar"/>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 w:type="character" w:customStyle="1" w:styleId="ListParagraphChar">
    <w:name w:val="List Paragraph Char"/>
    <w:aliases w:val="DPC List Paragraph P Char"/>
    <w:basedOn w:val="DefaultParagraphFont"/>
    <w:link w:val="ListParagraph"/>
    <w:uiPriority w:val="34"/>
    <w:rsid w:val="00CE30E6"/>
    <w:rPr>
      <w:rFonts w:ascii="Arial" w:hAnsi="Arial" w:cs="Calibri"/>
      <w:color w:val="000000" w:themeColor="text1"/>
      <w:szCs w:val="22"/>
      <w14:ligatures w14:val="standardContextual"/>
    </w:rPr>
  </w:style>
  <w:style w:type="paragraph" w:customStyle="1" w:styleId="Paragraph">
    <w:name w:val="Paragraph"/>
    <w:basedOn w:val="Normal"/>
    <w:link w:val="ParagraphChar"/>
    <w:qFormat/>
    <w:rsid w:val="00CE30E6"/>
    <w:pPr>
      <w:spacing w:before="120" w:after="240" w:line="280" w:lineRule="atLeast"/>
    </w:pPr>
    <w:rPr>
      <w:bCs/>
      <w:sz w:val="22"/>
      <w:shd w:val="clear" w:color="auto" w:fill="FFFFFF"/>
    </w:rPr>
  </w:style>
  <w:style w:type="character" w:customStyle="1" w:styleId="ParagraphChar">
    <w:name w:val="Paragraph Char"/>
    <w:basedOn w:val="DefaultParagraphFont"/>
    <w:link w:val="Paragraph"/>
    <w:rsid w:val="00CE30E6"/>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2.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3.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Abadi Ghadim, Sophia</cp:lastModifiedBy>
  <cp:revision>6</cp:revision>
  <cp:lastPrinted>2024-03-14T05:17:00Z</cp:lastPrinted>
  <dcterms:created xsi:type="dcterms:W3CDTF">2025-06-26T03:08:00Z</dcterms:created>
  <dcterms:modified xsi:type="dcterms:W3CDTF">2025-06-26T09:36:00Z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ContentTypeId">
    <vt:lpwstr>0x01010070D56267112CDC4FB0D8582F58FF7CE1</vt:lpwstr>
  </property>
  <property fmtid="{D5CDD505-2E9C-101B-9397-08002B2CF9AE}" pid="10" name="_NewReviewCycle">
    <vt:lpwstr/>
  </property>
  <property fmtid="{D5CDD505-2E9C-101B-9397-08002B2CF9AE}" pid="11" name="_AdHocReviewCycleID">
    <vt:i4>-2127623080</vt:i4>
  </property>
  <property fmtid="{D5CDD505-2E9C-101B-9397-08002B2CF9AE}" pid="12" name="_EmailSubject">
    <vt:lpwstr>Job Descriptions - Classification Confirmation </vt:lpwstr>
  </property>
  <property fmtid="{D5CDD505-2E9C-101B-9397-08002B2CF9AE}" pid="13" name="_AuthorEmail">
    <vt:lpwstr>Natalia.Kacperek@dpc.wa.gov.au</vt:lpwstr>
  </property>
  <property fmtid="{D5CDD505-2E9C-101B-9397-08002B2CF9AE}" pid="14" name="_AuthorEmailDisplayName">
    <vt:lpwstr>Kacperek, Natalia</vt:lpwstr>
  </property>
  <property fmtid="{D5CDD505-2E9C-101B-9397-08002B2CF9AE}" pid="15" name="_PreviousAdHocReviewCycleID">
    <vt:i4>-842745531</vt:i4>
  </property>
</Properties>
</file>