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CF44" w14:textId="778FCCD1" w:rsidR="004A4EC3" w:rsidRPr="00C14680" w:rsidRDefault="00CE30E6" w:rsidP="00280C06">
      <w:pPr>
        <w:spacing w:before="60" w:line="360" w:lineRule="auto"/>
        <w:rPr>
          <w:rFonts w:eastAsiaTheme="majorEastAsia" w:cs="Times New Roman (Headings CS)"/>
          <w:b/>
          <w:color w:val="CC5733"/>
          <w:sz w:val="20"/>
          <w:szCs w:val="20"/>
        </w:rPr>
      </w:pPr>
      <w:r>
        <w:rPr>
          <w:rFonts w:eastAsiaTheme="majorEastAsia" w:cs="Times New Roman (Headings CS)"/>
          <w:b/>
          <w:color w:val="CC5733"/>
          <w:sz w:val="30"/>
          <w:szCs w:val="30"/>
        </w:rPr>
        <w:t>Director Data Governance</w:t>
      </w:r>
      <w:r w:rsidR="004A4EC3" w:rsidRPr="00C14680">
        <w:rPr>
          <w:rFonts w:eastAsiaTheme="majorEastAsia" w:cs="Times New Roman (Headings CS)"/>
          <w:b/>
          <w:color w:val="CC5733"/>
          <w:sz w:val="30"/>
          <w:szCs w:val="30"/>
        </w:rPr>
        <w:t xml:space="preserve">, </w:t>
      </w:r>
      <w:r w:rsidR="006A1E28">
        <w:rPr>
          <w:rFonts w:eastAsiaTheme="majorEastAsia" w:cs="Times New Roman (Headings CS)"/>
          <w:b/>
          <w:color w:val="CC5733"/>
          <w:sz w:val="30"/>
          <w:szCs w:val="30"/>
        </w:rPr>
        <w:t xml:space="preserve">Level </w:t>
      </w:r>
      <w:r>
        <w:rPr>
          <w:rFonts w:eastAsiaTheme="majorEastAsia" w:cs="Times New Roman (Headings CS)"/>
          <w:b/>
          <w:color w:val="CC5733"/>
          <w:sz w:val="30"/>
          <w:szCs w:val="30"/>
        </w:rPr>
        <w:t>8</w:t>
      </w:r>
      <w:r w:rsidR="004A4EC3" w:rsidRPr="00C14680">
        <w:rPr>
          <w:rFonts w:eastAsiaTheme="majorEastAsia" w:cs="Times New Roman (Headings CS)"/>
          <w:b/>
          <w:color w:val="CC5733"/>
          <w:sz w:val="30"/>
          <w:szCs w:val="30"/>
        </w:rPr>
        <w:t xml:space="preserve"> (</w:t>
      </w:r>
      <w:r w:rsidR="00A03353">
        <w:rPr>
          <w:rFonts w:eastAsiaTheme="majorEastAsia" w:cs="Times New Roman (Headings CS)"/>
          <w:b/>
          <w:color w:val="CC5733"/>
          <w:sz w:val="30"/>
          <w:szCs w:val="30"/>
        </w:rPr>
        <w:t>DPC25047</w:t>
      </w:r>
      <w:r w:rsidR="004A4EC3" w:rsidRPr="00C14680">
        <w:rPr>
          <w:rFonts w:eastAsiaTheme="majorEastAsia" w:cs="Times New Roman (Headings CS)"/>
          <w:b/>
          <w:color w:val="CC5733"/>
          <w:sz w:val="30"/>
          <w:szCs w:val="30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747"/>
        <w:gridCol w:w="1647"/>
        <w:gridCol w:w="2410"/>
      </w:tblGrid>
      <w:tr w:rsidR="00CE30E6" w:rsidRPr="00D007E3" w14:paraId="361BAA74" w14:textId="77777777" w:rsidTr="009514B1">
        <w:trPr>
          <w:trHeight w:val="465"/>
        </w:trPr>
        <w:tc>
          <w:tcPr>
            <w:tcW w:w="2552" w:type="dxa"/>
          </w:tcPr>
          <w:p w14:paraId="77A0CA35" w14:textId="35EFD895" w:rsidR="00CE30E6" w:rsidRPr="00D007E3" w:rsidRDefault="00CE30E6" w:rsidP="00CE30E6">
            <w:pPr>
              <w:pStyle w:val="Formfields"/>
              <w:framePr w:hSpace="0" w:wrap="auto" w:vAnchor="margin" w:yAlign="inline"/>
              <w:suppressOverlap w:val="0"/>
              <w:rPr>
                <w:color w:val="000000" w:themeColor="text1"/>
              </w:rPr>
            </w:pPr>
            <w:r>
              <w:t>Division/</w:t>
            </w:r>
            <w:r w:rsidRPr="00D007E3">
              <w:t xml:space="preserve">Directorate: </w:t>
            </w:r>
          </w:p>
        </w:tc>
        <w:tc>
          <w:tcPr>
            <w:tcW w:w="2747" w:type="dxa"/>
          </w:tcPr>
          <w:p w14:paraId="6E7A5B79" w14:textId="76BC0358" w:rsidR="00CE30E6" w:rsidRPr="00D007E3" w:rsidRDefault="00CE30E6" w:rsidP="00CE30E6">
            <w:r>
              <w:t>Office of Digital Government</w:t>
            </w:r>
          </w:p>
        </w:tc>
        <w:tc>
          <w:tcPr>
            <w:tcW w:w="1647" w:type="dxa"/>
          </w:tcPr>
          <w:p w14:paraId="67141356" w14:textId="77777777" w:rsidR="00CE30E6" w:rsidRPr="00D007E3" w:rsidRDefault="00CE30E6" w:rsidP="00CE30E6">
            <w:pPr>
              <w:pStyle w:val="Formfields"/>
              <w:framePr w:hSpace="0" w:wrap="auto" w:vAnchor="margin" w:yAlign="inline"/>
              <w:suppressOverlap w:val="0"/>
            </w:pPr>
            <w:r w:rsidRPr="00D007E3">
              <w:t xml:space="preserve">Reports to: </w:t>
            </w:r>
          </w:p>
        </w:tc>
        <w:tc>
          <w:tcPr>
            <w:tcW w:w="2410" w:type="dxa"/>
          </w:tcPr>
          <w:p w14:paraId="0836B71E" w14:textId="07294448" w:rsidR="00CE30E6" w:rsidRPr="006A1E28" w:rsidRDefault="00CE30E6" w:rsidP="00CE30E6">
            <w:pPr>
              <w:rPr>
                <w:color w:val="000000" w:themeColor="text1"/>
              </w:rPr>
            </w:pPr>
            <w:r>
              <w:t>Chief Data Officer</w:t>
            </w:r>
          </w:p>
        </w:tc>
      </w:tr>
      <w:tr w:rsidR="00CE30E6" w:rsidRPr="00D007E3" w14:paraId="77F9C586" w14:textId="77777777" w:rsidTr="009514B1">
        <w:trPr>
          <w:trHeight w:val="85"/>
        </w:trPr>
        <w:tc>
          <w:tcPr>
            <w:tcW w:w="2552" w:type="dxa"/>
          </w:tcPr>
          <w:p w14:paraId="5E66F297" w14:textId="1455B585" w:rsidR="00CE30E6" w:rsidRPr="00D007E3" w:rsidRDefault="00CE30E6" w:rsidP="00CE30E6">
            <w:pPr>
              <w:pStyle w:val="Default"/>
              <w:rPr>
                <w:color w:val="000000" w:themeColor="text1"/>
              </w:rPr>
            </w:pPr>
            <w:r w:rsidRPr="00D007E3">
              <w:rPr>
                <w:color w:val="CC5733"/>
              </w:rPr>
              <w:t xml:space="preserve">Branch/Section: </w:t>
            </w:r>
          </w:p>
        </w:tc>
        <w:tc>
          <w:tcPr>
            <w:tcW w:w="2747" w:type="dxa"/>
          </w:tcPr>
          <w:p w14:paraId="2E756B84" w14:textId="15C515DE" w:rsidR="00CE30E6" w:rsidRPr="00D007E3" w:rsidRDefault="00CE30E6" w:rsidP="00CE30E6">
            <w:r>
              <w:t>Data Unit</w:t>
            </w:r>
          </w:p>
        </w:tc>
        <w:tc>
          <w:tcPr>
            <w:tcW w:w="1647" w:type="dxa"/>
          </w:tcPr>
          <w:p w14:paraId="69AA6691" w14:textId="77777777" w:rsidR="00CE30E6" w:rsidRPr="00D007E3" w:rsidRDefault="00CE30E6" w:rsidP="00CE30E6">
            <w:pPr>
              <w:pStyle w:val="Formfields"/>
              <w:framePr w:hSpace="0" w:wrap="auto" w:vAnchor="margin" w:yAlign="inline"/>
              <w:suppressOverlap w:val="0"/>
            </w:pPr>
            <w:r w:rsidRPr="00D007E3">
              <w:t xml:space="preserve">Supervises: </w:t>
            </w:r>
          </w:p>
        </w:tc>
        <w:tc>
          <w:tcPr>
            <w:tcW w:w="2410" w:type="dxa"/>
          </w:tcPr>
          <w:p w14:paraId="492DAAAF" w14:textId="40A2535D" w:rsidR="00CE30E6" w:rsidRPr="006A1E28" w:rsidRDefault="00CE30E6" w:rsidP="00CE30E6">
            <w:pPr>
              <w:rPr>
                <w:color w:val="000000" w:themeColor="text1"/>
              </w:rPr>
            </w:pPr>
            <w:r>
              <w:t>4</w:t>
            </w:r>
            <w:r w:rsidRPr="00E528A2">
              <w:t xml:space="preserve"> FTE</w:t>
            </w:r>
          </w:p>
        </w:tc>
      </w:tr>
      <w:tr w:rsidR="004A4EC3" w:rsidRPr="00D007E3" w14:paraId="6BBCF80B" w14:textId="77777777" w:rsidTr="009514B1">
        <w:trPr>
          <w:trHeight w:val="434"/>
        </w:trPr>
        <w:tc>
          <w:tcPr>
            <w:tcW w:w="2552" w:type="dxa"/>
          </w:tcPr>
          <w:p w14:paraId="441BB099" w14:textId="16118058" w:rsidR="004A4EC3" w:rsidRPr="00D007E3" w:rsidRDefault="004A4EC3" w:rsidP="004A4EC3">
            <w:pPr>
              <w:pStyle w:val="Default"/>
              <w:rPr>
                <w:color w:val="000000" w:themeColor="text1"/>
              </w:rPr>
            </w:pPr>
            <w:r w:rsidRPr="00D007E3">
              <w:rPr>
                <w:color w:val="CC5733"/>
              </w:rPr>
              <w:t xml:space="preserve">Location: </w:t>
            </w:r>
          </w:p>
        </w:tc>
        <w:tc>
          <w:tcPr>
            <w:tcW w:w="2747" w:type="dxa"/>
          </w:tcPr>
          <w:p w14:paraId="7552AE47" w14:textId="775F0025" w:rsidR="004A4EC3" w:rsidRPr="00D007E3" w:rsidRDefault="004E2FC6" w:rsidP="004A4EC3">
            <w:r>
              <w:t xml:space="preserve">West Perth </w:t>
            </w:r>
          </w:p>
        </w:tc>
        <w:tc>
          <w:tcPr>
            <w:tcW w:w="1647" w:type="dxa"/>
          </w:tcPr>
          <w:p w14:paraId="7FF4CBAE" w14:textId="0CC22394" w:rsidR="004A4EC3" w:rsidRPr="00D007E3" w:rsidRDefault="004A4EC3" w:rsidP="004A4EC3">
            <w:pPr>
              <w:pStyle w:val="Default"/>
              <w:rPr>
                <w:color w:val="CC5733"/>
              </w:rPr>
            </w:pPr>
          </w:p>
        </w:tc>
        <w:tc>
          <w:tcPr>
            <w:tcW w:w="2410" w:type="dxa"/>
          </w:tcPr>
          <w:p w14:paraId="6D36D602" w14:textId="0EDB96F9" w:rsidR="004A4EC3" w:rsidRPr="00D007E3" w:rsidRDefault="004A4EC3" w:rsidP="004A4EC3"/>
        </w:tc>
      </w:tr>
    </w:tbl>
    <w:p w14:paraId="0659CC79" w14:textId="4FE04358" w:rsidR="00756536" w:rsidRPr="00070651" w:rsidRDefault="004A4EC3" w:rsidP="00C47631">
      <w:pPr>
        <w:pStyle w:val="Heading1"/>
        <w:rPr>
          <w:sz w:val="24"/>
          <w:szCs w:val="24"/>
        </w:rPr>
      </w:pPr>
      <w:r w:rsidRPr="00070651">
        <w:rPr>
          <w:sz w:val="24"/>
          <w:szCs w:val="24"/>
        </w:rPr>
        <w:t>Our vision is to lead a connected government that delivers a brighter future for Western Australians</w:t>
      </w:r>
      <w:r w:rsidR="005257D4">
        <w:rPr>
          <w:sz w:val="24"/>
          <w:szCs w:val="24"/>
        </w:rPr>
        <w:t xml:space="preserve">. </w:t>
      </w:r>
    </w:p>
    <w:p w14:paraId="064B12A5" w14:textId="4BCEFCFE" w:rsidR="00756536" w:rsidRPr="004A3655" w:rsidRDefault="00756536" w:rsidP="004A3655">
      <w:pPr>
        <w:spacing w:line="240" w:lineRule="auto"/>
      </w:pPr>
      <w:r w:rsidRPr="004A3655">
        <w:t>The Department of the Premier and Cabinet (DPC) leads the public sector in providing whole-of-Government advice and support to the Premier and Cabinet in their service of the WA community.</w:t>
      </w:r>
      <w:r w:rsidR="00044FF3" w:rsidRPr="004A3655">
        <w:t xml:space="preserve"> </w:t>
      </w:r>
    </w:p>
    <w:p w14:paraId="1AEF4CDD" w14:textId="3AB0B98D" w:rsidR="00FE0D47" w:rsidRPr="004A3655" w:rsidRDefault="00FE0D47" w:rsidP="00FE0D47">
      <w:pPr>
        <w:spacing w:line="240" w:lineRule="auto"/>
      </w:pPr>
      <w:r w:rsidRPr="004A3655">
        <w:t xml:space="preserve">Our areas of responsibility include Office of Digital Government, </w:t>
      </w:r>
      <w:r>
        <w:t xml:space="preserve">Intergovernmental Relations and Strategic Priorities, </w:t>
      </w:r>
      <w:r w:rsidRPr="004A3655">
        <w:t>Aboriginal Engagement and Community Policy, Infrastructure, Economy and</w:t>
      </w:r>
      <w:r>
        <w:t xml:space="preserve"> Environment</w:t>
      </w:r>
      <w:r w:rsidRPr="004A3655">
        <w:t xml:space="preserve"> and </w:t>
      </w:r>
      <w:r w:rsidR="00892424">
        <w:t>State Services</w:t>
      </w:r>
      <w:r w:rsidRPr="004A3655">
        <w:t>.</w:t>
      </w:r>
    </w:p>
    <w:p w14:paraId="692C6C49" w14:textId="71F38795" w:rsidR="003A787A" w:rsidRPr="004A3655" w:rsidRDefault="00A00DF9" w:rsidP="004A3655">
      <w:pPr>
        <w:spacing w:line="240" w:lineRule="auto"/>
        <w:rPr>
          <w:rFonts w:ascii="Neue Haas Grotesk Text Pro" w:hAnsi="Neue Haas Grotesk Text Pro"/>
          <w:color w:val="000000" w:themeColor="text1"/>
        </w:rPr>
      </w:pPr>
      <w:r w:rsidRPr="004A3655">
        <w:t>Join us and work in a role where you can make a real difference to the lives of children, families, individuals and communities throughout Western Australia.</w:t>
      </w:r>
      <w:bookmarkStart w:id="0" w:name="_Hlk125896025"/>
    </w:p>
    <w:p w14:paraId="5022EB32" w14:textId="3C4E53A4" w:rsidR="00477E21" w:rsidRPr="00070651" w:rsidRDefault="003522C2" w:rsidP="00C4763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Our values, </w:t>
      </w:r>
      <w:r w:rsidRPr="00CD0B02">
        <w:rPr>
          <w:i/>
          <w:iCs/>
          <w:sz w:val="24"/>
          <w:szCs w:val="24"/>
        </w:rPr>
        <w:t>Leadership, Connection and Impact</w:t>
      </w:r>
      <w:r>
        <w:rPr>
          <w:sz w:val="24"/>
          <w:szCs w:val="24"/>
        </w:rPr>
        <w:t xml:space="preserve">, underpin the way we work. </w:t>
      </w:r>
    </w:p>
    <w:bookmarkEnd w:id="0"/>
    <w:p w14:paraId="6364B66A" w14:textId="76AEC8D2" w:rsidR="006963C4" w:rsidRPr="00CE30E6" w:rsidRDefault="00CE30E6" w:rsidP="00CE30E6">
      <w:pPr>
        <w:rPr>
          <w:rFonts w:cs="Calibri"/>
        </w:rPr>
      </w:pPr>
      <w:r>
        <w:t xml:space="preserve">The </w:t>
      </w:r>
      <w:r w:rsidRPr="00776B62">
        <w:t>Data</w:t>
      </w:r>
      <w:r>
        <w:t xml:space="preserve"> Unit</w:t>
      </w:r>
      <w:r w:rsidRPr="00776B62">
        <w:t xml:space="preserve"> </w:t>
      </w:r>
      <w:r>
        <w:t>is</w:t>
      </w:r>
      <w:r w:rsidRPr="00776B62">
        <w:t xml:space="preserve"> an interdisciplinary team </w:t>
      </w:r>
      <w:r w:rsidR="003C4825">
        <w:t>dedicated to enhancing</w:t>
      </w:r>
      <w:r w:rsidRPr="00776B62">
        <w:t xml:space="preserve"> </w:t>
      </w:r>
      <w:r w:rsidR="003C4825">
        <w:t xml:space="preserve">the use of evidence across the </w:t>
      </w:r>
      <w:r w:rsidRPr="00776B62">
        <w:t xml:space="preserve">public sector to </w:t>
      </w:r>
      <w:r w:rsidR="003C4825">
        <w:t xml:space="preserve">support </w:t>
      </w:r>
      <w:r w:rsidRPr="00776B62">
        <w:t>better decision</w:t>
      </w:r>
      <w:r w:rsidR="003C4825">
        <w:t xml:space="preserve"> making</w:t>
      </w:r>
      <w:r w:rsidRPr="00776B62">
        <w:t xml:space="preserve"> and policy</w:t>
      </w:r>
      <w:r w:rsidR="003C4825">
        <w:t xml:space="preserve"> development</w:t>
      </w:r>
      <w:r w:rsidRPr="00776B62">
        <w:t xml:space="preserve">.  We work with a </w:t>
      </w:r>
      <w:r w:rsidR="003C4825">
        <w:t>wide</w:t>
      </w:r>
      <w:r w:rsidR="003C4825" w:rsidRPr="00776B62">
        <w:t xml:space="preserve"> </w:t>
      </w:r>
      <w:r w:rsidRPr="00776B62">
        <w:t xml:space="preserve">range of agencies </w:t>
      </w:r>
      <w:r w:rsidR="003C4825">
        <w:t>to address</w:t>
      </w:r>
      <w:r w:rsidRPr="00776B62">
        <w:t xml:space="preserve"> the State’s most complex social, health, environmental and economic </w:t>
      </w:r>
      <w:r w:rsidR="003C4825">
        <w:t>challenges</w:t>
      </w:r>
      <w:r w:rsidRPr="00776B62">
        <w:t xml:space="preserve">.  </w:t>
      </w:r>
      <w:r w:rsidR="003C4825">
        <w:t xml:space="preserve">Our </w:t>
      </w:r>
      <w:r w:rsidR="003C4825" w:rsidRPr="00776B62">
        <w:t>work</w:t>
      </w:r>
      <w:r w:rsidR="003C4825">
        <w:t xml:space="preserve"> plays an important role in</w:t>
      </w:r>
      <w:r w:rsidRPr="00776B62">
        <w:t xml:space="preserve"> </w:t>
      </w:r>
      <w:r w:rsidR="003C4825">
        <w:t>shaping</w:t>
      </w:r>
      <w:r w:rsidRPr="00776B62">
        <w:t xml:space="preserve"> strategy, </w:t>
      </w:r>
      <w:r w:rsidR="003C4825">
        <w:t xml:space="preserve">improving </w:t>
      </w:r>
      <w:r w:rsidRPr="00776B62">
        <w:t xml:space="preserve">operations and </w:t>
      </w:r>
      <w:r w:rsidR="003C4825">
        <w:t xml:space="preserve">strengthening </w:t>
      </w:r>
      <w:r w:rsidRPr="00776B62">
        <w:t xml:space="preserve">service delivery </w:t>
      </w:r>
      <w:r w:rsidR="003C4825">
        <w:t>across the entire public</w:t>
      </w:r>
      <w:r w:rsidRPr="00776B62">
        <w:t xml:space="preserve"> sector.  </w:t>
      </w:r>
    </w:p>
    <w:p w14:paraId="7D1D0209" w14:textId="551A0CAA" w:rsidR="00477E21" w:rsidRPr="00280C06" w:rsidRDefault="00A00DF9" w:rsidP="00280C06">
      <w:pPr>
        <w:pStyle w:val="Heading1"/>
        <w:rPr>
          <w:b w:val="0"/>
        </w:rPr>
      </w:pPr>
      <w:r w:rsidRPr="00280C06">
        <w:rPr>
          <w:sz w:val="24"/>
          <w:szCs w:val="24"/>
        </w:rPr>
        <w:t xml:space="preserve">About the </w:t>
      </w:r>
      <w:r w:rsidR="00756536" w:rsidRPr="00280C06">
        <w:rPr>
          <w:sz w:val="24"/>
          <w:szCs w:val="24"/>
        </w:rPr>
        <w:t>Role</w:t>
      </w:r>
      <w:r w:rsidR="00C45F38" w:rsidRPr="00280C06">
        <w:rPr>
          <w:sz w:val="24"/>
          <w:szCs w:val="24"/>
        </w:rPr>
        <w:t xml:space="preserve"> </w:t>
      </w:r>
      <w:r w:rsidR="004A4EC3" w:rsidRPr="00280C06">
        <w:rPr>
          <w:sz w:val="24"/>
          <w:szCs w:val="24"/>
        </w:rPr>
        <w:t>and Responsibilities</w:t>
      </w:r>
    </w:p>
    <w:p w14:paraId="462C62B7" w14:textId="45A5F411" w:rsidR="004A3655" w:rsidRDefault="00CE30E6" w:rsidP="004A3655">
      <w:r>
        <w:t xml:space="preserve">The Director Data Governance </w:t>
      </w:r>
      <w:r w:rsidR="003C4825">
        <w:t xml:space="preserve">provides </w:t>
      </w:r>
      <w:r>
        <w:t>high</w:t>
      </w:r>
      <w:r w:rsidR="003C4825">
        <w:t>-</w:t>
      </w:r>
      <w:r>
        <w:t xml:space="preserve">level leadership </w:t>
      </w:r>
      <w:r w:rsidR="003C4825">
        <w:t>in</w:t>
      </w:r>
      <w:r>
        <w:t xml:space="preserve"> support </w:t>
      </w:r>
      <w:r w:rsidR="003C4825">
        <w:t xml:space="preserve">of </w:t>
      </w:r>
      <w:r>
        <w:t>the Chief Data Officer</w:t>
      </w:r>
      <w:r w:rsidR="003C4825">
        <w:t>’s</w:t>
      </w:r>
      <w:r>
        <w:t xml:space="preserve"> statutory </w:t>
      </w:r>
      <w:r w:rsidR="003C4825">
        <w:t xml:space="preserve">responsibilities </w:t>
      </w:r>
      <w:r>
        <w:t xml:space="preserve">under the </w:t>
      </w:r>
      <w:r w:rsidRPr="001A3D0C">
        <w:rPr>
          <w:i/>
          <w:iCs/>
        </w:rPr>
        <w:t>P</w:t>
      </w:r>
      <w:r w:rsidR="00700609">
        <w:rPr>
          <w:i/>
          <w:iCs/>
        </w:rPr>
        <w:t>rivacy</w:t>
      </w:r>
      <w:r w:rsidR="003C4825" w:rsidRPr="001A3D0C">
        <w:rPr>
          <w:i/>
          <w:iCs/>
        </w:rPr>
        <w:t xml:space="preserve"> </w:t>
      </w:r>
      <w:r w:rsidR="00700609">
        <w:rPr>
          <w:i/>
          <w:iCs/>
        </w:rPr>
        <w:t xml:space="preserve">and </w:t>
      </w:r>
      <w:r w:rsidRPr="001A3D0C">
        <w:rPr>
          <w:i/>
          <w:iCs/>
        </w:rPr>
        <w:t>R</w:t>
      </w:r>
      <w:r w:rsidR="00700609">
        <w:rPr>
          <w:i/>
          <w:iCs/>
        </w:rPr>
        <w:t>esponsible</w:t>
      </w:r>
      <w:r w:rsidR="003C4825" w:rsidRPr="001A3D0C">
        <w:rPr>
          <w:i/>
          <w:iCs/>
        </w:rPr>
        <w:t xml:space="preserve"> </w:t>
      </w:r>
      <w:r w:rsidRPr="001A3D0C">
        <w:rPr>
          <w:i/>
          <w:iCs/>
        </w:rPr>
        <w:t>I</w:t>
      </w:r>
      <w:r w:rsidR="003C4825" w:rsidRPr="001A3D0C">
        <w:rPr>
          <w:i/>
          <w:iCs/>
        </w:rPr>
        <w:t xml:space="preserve">nformation </w:t>
      </w:r>
      <w:r w:rsidRPr="001A3D0C">
        <w:rPr>
          <w:i/>
          <w:iCs/>
        </w:rPr>
        <w:t>S</w:t>
      </w:r>
      <w:r w:rsidR="003C4825" w:rsidRPr="001A3D0C">
        <w:rPr>
          <w:i/>
          <w:iCs/>
        </w:rPr>
        <w:t>haring</w:t>
      </w:r>
      <w:r w:rsidRPr="001A3D0C">
        <w:rPr>
          <w:i/>
          <w:iCs/>
        </w:rPr>
        <w:t xml:space="preserve"> Act 2024</w:t>
      </w:r>
      <w:r w:rsidR="003C4825">
        <w:rPr>
          <w:i/>
          <w:iCs/>
        </w:rPr>
        <w:t xml:space="preserve"> </w:t>
      </w:r>
      <w:r w:rsidR="003C4825" w:rsidRPr="001A3D0C">
        <w:t>(PRIS Act)</w:t>
      </w:r>
      <w:r w:rsidRPr="001A3D0C">
        <w:rPr>
          <w:i/>
          <w:iCs/>
        </w:rPr>
        <w:t>.</w:t>
      </w:r>
      <w:r>
        <w:t xml:space="preserve">  The role </w:t>
      </w:r>
      <w:r w:rsidR="003C4825">
        <w:t xml:space="preserve">plays an important role in identifying </w:t>
      </w:r>
      <w:r w:rsidRPr="00B07C28">
        <w:t>and address</w:t>
      </w:r>
      <w:r w:rsidR="003C4825">
        <w:t>ing</w:t>
      </w:r>
      <w:r w:rsidRPr="00B07C28">
        <w:t xml:space="preserve"> barriers to data sharing</w:t>
      </w:r>
      <w:r>
        <w:t xml:space="preserve"> </w:t>
      </w:r>
      <w:r w:rsidR="003C4825">
        <w:t xml:space="preserve">and </w:t>
      </w:r>
      <w:r>
        <w:t>provid</w:t>
      </w:r>
      <w:r w:rsidR="003C4825">
        <w:t>es</w:t>
      </w:r>
      <w:r>
        <w:t xml:space="preserve"> </w:t>
      </w:r>
      <w:r w:rsidR="003C4825">
        <w:t xml:space="preserve">strategic </w:t>
      </w:r>
      <w:r>
        <w:t xml:space="preserve">advice on interagency </w:t>
      </w:r>
      <w:r w:rsidR="003C4825">
        <w:t xml:space="preserve">data </w:t>
      </w:r>
      <w:r>
        <w:t>projects</w:t>
      </w:r>
      <w:r w:rsidR="003C4825">
        <w:t xml:space="preserve"> and initiatives</w:t>
      </w:r>
      <w:r>
        <w:t xml:space="preserve">. </w:t>
      </w:r>
      <w:r w:rsidR="003C4825">
        <w:t xml:space="preserve">This position </w:t>
      </w:r>
      <w:r>
        <w:t>lead</w:t>
      </w:r>
      <w:r w:rsidR="003C4825">
        <w:t>s</w:t>
      </w:r>
      <w:r>
        <w:t xml:space="preserve"> </w:t>
      </w:r>
      <w:r w:rsidR="003C4825">
        <w:t xml:space="preserve">efforts across </w:t>
      </w:r>
      <w:r>
        <w:t xml:space="preserve">the </w:t>
      </w:r>
      <w:r w:rsidR="003C4825">
        <w:t xml:space="preserve">public </w:t>
      </w:r>
      <w:r>
        <w:t xml:space="preserve">sector to ensure alignment on policies and guidance </w:t>
      </w:r>
      <w:r w:rsidR="003C4825">
        <w:t xml:space="preserve">related to </w:t>
      </w:r>
      <w:r>
        <w:t>data</w:t>
      </w:r>
      <w:r w:rsidR="003C4825">
        <w:t xml:space="preserve"> governance</w:t>
      </w:r>
      <w:r>
        <w:t>, records and information management</w:t>
      </w:r>
      <w:r w:rsidR="00756536" w:rsidRPr="00D007E3">
        <w:t>.</w:t>
      </w:r>
    </w:p>
    <w:p w14:paraId="18AAF0DC" w14:textId="77777777" w:rsidR="00CE30E6" w:rsidRPr="00CE30E6" w:rsidRDefault="00CE30E6" w:rsidP="00CE30E6">
      <w:pPr>
        <w:pStyle w:val="Heading3"/>
        <w:rPr>
          <w:rFonts w:cs="Arial"/>
          <w:sz w:val="24"/>
        </w:rPr>
      </w:pPr>
      <w:bookmarkStart w:id="1" w:name="_Hlk198911017"/>
      <w:r w:rsidRPr="00CE30E6">
        <w:rPr>
          <w:rFonts w:cs="Arial"/>
          <w:sz w:val="24"/>
        </w:rPr>
        <w:t>Policy and Governance Development</w:t>
      </w:r>
    </w:p>
    <w:p w14:paraId="70E6E583" w14:textId="4FE941A5" w:rsidR="00CE30E6" w:rsidRPr="003C4825" w:rsidRDefault="00CE30E6" w:rsidP="00CE30E6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3C4825">
        <w:rPr>
          <w:color w:val="auto"/>
          <w:szCs w:val="24"/>
        </w:rPr>
        <w:t>Support</w:t>
      </w:r>
      <w:r w:rsidR="003C4825">
        <w:rPr>
          <w:color w:val="auto"/>
          <w:szCs w:val="24"/>
        </w:rPr>
        <w:t>s</w:t>
      </w:r>
      <w:r w:rsidRPr="003C4825">
        <w:rPr>
          <w:color w:val="auto"/>
          <w:szCs w:val="24"/>
        </w:rPr>
        <w:t xml:space="preserve"> the Chief Data Officer in </w:t>
      </w:r>
      <w:r w:rsidR="003C4825">
        <w:rPr>
          <w:color w:val="auto"/>
          <w:szCs w:val="24"/>
        </w:rPr>
        <w:t xml:space="preserve">fulfilling </w:t>
      </w:r>
      <w:r w:rsidRPr="001A3D0C">
        <w:rPr>
          <w:color w:val="auto"/>
          <w:szCs w:val="24"/>
        </w:rPr>
        <w:t>statutory functions under the PRIS Act 2024</w:t>
      </w:r>
      <w:r w:rsidRPr="003C4825">
        <w:rPr>
          <w:color w:val="auto"/>
          <w:szCs w:val="24"/>
        </w:rPr>
        <w:t>, including:</w:t>
      </w:r>
    </w:p>
    <w:p w14:paraId="75E00026" w14:textId="77777777" w:rsidR="003C4825" w:rsidRDefault="003A0365" w:rsidP="00CE30E6">
      <w:pPr>
        <w:pStyle w:val="ListParagraph"/>
        <w:numPr>
          <w:ilvl w:val="0"/>
          <w:numId w:val="21"/>
        </w:numPr>
        <w:rPr>
          <w:color w:val="auto"/>
          <w:szCs w:val="24"/>
        </w:rPr>
      </w:pPr>
      <w:r w:rsidRPr="003C4825">
        <w:rPr>
          <w:color w:val="auto"/>
          <w:szCs w:val="24"/>
        </w:rPr>
        <w:lastRenderedPageBreak/>
        <w:t xml:space="preserve">Preparing </w:t>
      </w:r>
      <w:r w:rsidRPr="001A3D0C">
        <w:rPr>
          <w:color w:val="auto"/>
          <w:szCs w:val="24"/>
        </w:rPr>
        <w:t>reports for P</w:t>
      </w:r>
      <w:r w:rsidR="00CE30E6" w:rsidRPr="001A3D0C">
        <w:rPr>
          <w:color w:val="auto"/>
          <w:szCs w:val="24"/>
        </w:rPr>
        <w:t>arliament</w:t>
      </w:r>
      <w:r w:rsidRPr="003C4825">
        <w:rPr>
          <w:color w:val="auto"/>
          <w:szCs w:val="24"/>
        </w:rPr>
        <w:t xml:space="preserve"> via the responsible Minister</w:t>
      </w:r>
    </w:p>
    <w:p w14:paraId="64FFB844" w14:textId="357F6175" w:rsidR="00CE30E6" w:rsidRPr="003C4825" w:rsidRDefault="003C4825" w:rsidP="00CE30E6">
      <w:pPr>
        <w:pStyle w:val="ListParagraph"/>
        <w:numPr>
          <w:ilvl w:val="0"/>
          <w:numId w:val="21"/>
        </w:numPr>
        <w:rPr>
          <w:color w:val="auto"/>
          <w:szCs w:val="24"/>
        </w:rPr>
      </w:pPr>
      <w:r>
        <w:rPr>
          <w:color w:val="auto"/>
          <w:szCs w:val="24"/>
        </w:rPr>
        <w:t>M</w:t>
      </w:r>
      <w:r w:rsidR="00CE30E6" w:rsidRPr="001A3D0C">
        <w:rPr>
          <w:color w:val="auto"/>
          <w:szCs w:val="24"/>
        </w:rPr>
        <w:t>aintaining public registers</w:t>
      </w:r>
      <w:r w:rsidR="00CE30E6" w:rsidRPr="003C4825">
        <w:rPr>
          <w:color w:val="auto"/>
          <w:szCs w:val="24"/>
        </w:rPr>
        <w:t xml:space="preserve"> of key matters</w:t>
      </w:r>
      <w:r>
        <w:rPr>
          <w:color w:val="auto"/>
          <w:szCs w:val="24"/>
        </w:rPr>
        <w:t xml:space="preserve"> </w:t>
      </w:r>
      <w:r w:rsidR="003A0365" w:rsidRPr="003C4825">
        <w:rPr>
          <w:color w:val="auto"/>
          <w:szCs w:val="24"/>
        </w:rPr>
        <w:t xml:space="preserve">such as </w:t>
      </w:r>
      <w:r>
        <w:rPr>
          <w:color w:val="auto"/>
          <w:szCs w:val="24"/>
        </w:rPr>
        <w:t xml:space="preserve">reform </w:t>
      </w:r>
      <w:r w:rsidR="003A0365" w:rsidRPr="003C4825">
        <w:rPr>
          <w:color w:val="auto"/>
          <w:szCs w:val="24"/>
        </w:rPr>
        <w:t>uptake</w:t>
      </w:r>
      <w:r w:rsidR="00BE2BC3" w:rsidRPr="003C4825">
        <w:rPr>
          <w:color w:val="auto"/>
          <w:szCs w:val="24"/>
        </w:rPr>
        <w:t>;</w:t>
      </w:r>
    </w:p>
    <w:p w14:paraId="414CF546" w14:textId="72CA9DFE" w:rsidR="00CE30E6" w:rsidRPr="003C4825" w:rsidRDefault="00CE30E6" w:rsidP="00CE30E6">
      <w:pPr>
        <w:pStyle w:val="ListParagraph"/>
        <w:numPr>
          <w:ilvl w:val="0"/>
          <w:numId w:val="21"/>
        </w:numPr>
        <w:rPr>
          <w:color w:val="auto"/>
          <w:szCs w:val="24"/>
        </w:rPr>
      </w:pPr>
      <w:r w:rsidRPr="003C4825">
        <w:rPr>
          <w:color w:val="auto"/>
          <w:szCs w:val="24"/>
        </w:rPr>
        <w:t xml:space="preserve">Drafting </w:t>
      </w:r>
      <w:r w:rsidRPr="001A3D0C">
        <w:rPr>
          <w:color w:val="auto"/>
          <w:szCs w:val="24"/>
        </w:rPr>
        <w:t>regulations, policies and guidance</w:t>
      </w:r>
      <w:r w:rsidRPr="003C4825">
        <w:rPr>
          <w:color w:val="auto"/>
          <w:szCs w:val="24"/>
        </w:rPr>
        <w:t xml:space="preserve"> to support</w:t>
      </w:r>
      <w:r w:rsidR="00347318">
        <w:rPr>
          <w:color w:val="auto"/>
          <w:szCs w:val="24"/>
        </w:rPr>
        <w:t xml:space="preserve"> sector-wide</w:t>
      </w:r>
      <w:r w:rsidRPr="003C4825">
        <w:rPr>
          <w:color w:val="auto"/>
          <w:szCs w:val="24"/>
        </w:rPr>
        <w:t xml:space="preserve"> information sharing</w:t>
      </w:r>
      <w:r w:rsidR="00BE2BC3" w:rsidRPr="003C4825">
        <w:rPr>
          <w:color w:val="auto"/>
          <w:szCs w:val="24"/>
        </w:rPr>
        <w:t>;</w:t>
      </w:r>
    </w:p>
    <w:p w14:paraId="406A5FD6" w14:textId="621C06F7" w:rsidR="00CE30E6" w:rsidRPr="003C4825" w:rsidRDefault="00CE30E6" w:rsidP="00CE30E6">
      <w:pPr>
        <w:pStyle w:val="ListParagraph"/>
        <w:numPr>
          <w:ilvl w:val="0"/>
          <w:numId w:val="21"/>
        </w:numPr>
        <w:rPr>
          <w:color w:val="auto"/>
          <w:szCs w:val="24"/>
        </w:rPr>
      </w:pPr>
      <w:r w:rsidRPr="003C4825">
        <w:rPr>
          <w:color w:val="auto"/>
          <w:szCs w:val="24"/>
        </w:rPr>
        <w:t xml:space="preserve">Supporting Information Holdings Requests </w:t>
      </w:r>
      <w:r w:rsidRPr="001A3D0C">
        <w:rPr>
          <w:color w:val="auto"/>
          <w:szCs w:val="24"/>
        </w:rPr>
        <w:t>to catalogue and promote visibility</w:t>
      </w:r>
      <w:r w:rsidRPr="003C4825">
        <w:rPr>
          <w:color w:val="auto"/>
          <w:szCs w:val="24"/>
        </w:rPr>
        <w:t xml:space="preserve"> of government data assets</w:t>
      </w:r>
      <w:r w:rsidR="00BE2BC3" w:rsidRPr="003C4825">
        <w:rPr>
          <w:color w:val="auto"/>
          <w:szCs w:val="24"/>
        </w:rPr>
        <w:t xml:space="preserve">; and </w:t>
      </w:r>
    </w:p>
    <w:p w14:paraId="4BEB73AD" w14:textId="68442EEF" w:rsidR="00CE30E6" w:rsidRDefault="00CE30E6" w:rsidP="00CE30E6">
      <w:pPr>
        <w:pStyle w:val="ListParagraph"/>
        <w:numPr>
          <w:ilvl w:val="0"/>
          <w:numId w:val="21"/>
        </w:numPr>
        <w:rPr>
          <w:color w:val="auto"/>
          <w:szCs w:val="24"/>
        </w:rPr>
      </w:pPr>
      <w:r w:rsidRPr="003C4825">
        <w:rPr>
          <w:color w:val="auto"/>
          <w:szCs w:val="24"/>
        </w:rPr>
        <w:t xml:space="preserve">Developing </w:t>
      </w:r>
      <w:r w:rsidRPr="001A3D0C">
        <w:rPr>
          <w:color w:val="auto"/>
          <w:szCs w:val="24"/>
        </w:rPr>
        <w:t>templates and supporting material</w:t>
      </w:r>
      <w:r w:rsidR="00347318">
        <w:rPr>
          <w:color w:val="auto"/>
          <w:szCs w:val="24"/>
        </w:rPr>
        <w:t>s</w:t>
      </w:r>
      <w:r w:rsidRPr="003C4825">
        <w:rPr>
          <w:color w:val="auto"/>
          <w:szCs w:val="24"/>
        </w:rPr>
        <w:t xml:space="preserve"> for </w:t>
      </w:r>
      <w:r w:rsidR="00347318">
        <w:rPr>
          <w:color w:val="auto"/>
          <w:szCs w:val="24"/>
        </w:rPr>
        <w:t xml:space="preserve">use across the </w:t>
      </w:r>
      <w:r w:rsidRPr="003C4825">
        <w:rPr>
          <w:color w:val="auto"/>
          <w:szCs w:val="24"/>
        </w:rPr>
        <w:t>sector</w:t>
      </w:r>
      <w:r w:rsidR="00347318">
        <w:rPr>
          <w:color w:val="auto"/>
          <w:szCs w:val="24"/>
        </w:rPr>
        <w:t>.</w:t>
      </w:r>
    </w:p>
    <w:p w14:paraId="74053953" w14:textId="77777777" w:rsidR="00347318" w:rsidRPr="00347318" w:rsidRDefault="00347318" w:rsidP="001A3D0C">
      <w:pPr>
        <w:pStyle w:val="ListParagraph"/>
        <w:numPr>
          <w:ilvl w:val="0"/>
          <w:numId w:val="18"/>
        </w:numPr>
      </w:pPr>
      <w:r w:rsidRPr="00347318">
        <w:t xml:space="preserve">Collaborates with the Office of the Information Commissioner to ensure successful co-delivery of the PRIS Act objectives. </w:t>
      </w:r>
    </w:p>
    <w:p w14:paraId="6DD3CB66" w14:textId="77777777" w:rsidR="00347318" w:rsidRDefault="00347318" w:rsidP="00347318"/>
    <w:p w14:paraId="166FFE81" w14:textId="5260631B" w:rsidR="00347318" w:rsidRPr="001A3D0C" w:rsidRDefault="00347318" w:rsidP="001A3D0C">
      <w:pPr>
        <w:rPr>
          <w:b/>
          <w:bCs/>
        </w:rPr>
      </w:pPr>
      <w:r w:rsidRPr="001A3D0C">
        <w:rPr>
          <w:b/>
          <w:bCs/>
        </w:rPr>
        <w:t>Data Sharing and Policy Alignment</w:t>
      </w:r>
    </w:p>
    <w:p w14:paraId="44F68696" w14:textId="5186FEE9" w:rsidR="00CE30E6" w:rsidRPr="003C4825" w:rsidRDefault="00CE30E6" w:rsidP="00CE30E6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3C4825">
        <w:rPr>
          <w:color w:val="auto"/>
          <w:szCs w:val="24"/>
        </w:rPr>
        <w:t>Advise</w:t>
      </w:r>
      <w:r w:rsidR="00347318">
        <w:rPr>
          <w:color w:val="auto"/>
          <w:szCs w:val="24"/>
        </w:rPr>
        <w:t>s</w:t>
      </w:r>
      <w:r w:rsidRPr="003C4825">
        <w:rPr>
          <w:color w:val="auto"/>
          <w:szCs w:val="24"/>
        </w:rPr>
        <w:t xml:space="preserve"> on data sharing projects</w:t>
      </w:r>
      <w:r w:rsidR="00347318">
        <w:rPr>
          <w:color w:val="auto"/>
          <w:szCs w:val="24"/>
        </w:rPr>
        <w:t>,</w:t>
      </w:r>
      <w:r w:rsidRPr="003C4825">
        <w:rPr>
          <w:color w:val="auto"/>
          <w:szCs w:val="24"/>
        </w:rPr>
        <w:t xml:space="preserve"> working closely with other Directors in the Data Unit </w:t>
      </w:r>
      <w:bookmarkStart w:id="2" w:name="_Hlk198894793"/>
      <w:r w:rsidRPr="003C4825">
        <w:rPr>
          <w:color w:val="auto"/>
          <w:szCs w:val="24"/>
        </w:rPr>
        <w:t xml:space="preserve">to </w:t>
      </w:r>
      <w:r w:rsidR="00347318">
        <w:rPr>
          <w:color w:val="auto"/>
          <w:szCs w:val="24"/>
        </w:rPr>
        <w:t xml:space="preserve">identify </w:t>
      </w:r>
      <w:r w:rsidRPr="001A3D0C">
        <w:rPr>
          <w:color w:val="auto"/>
          <w:szCs w:val="24"/>
        </w:rPr>
        <w:t>and address barriers</w:t>
      </w:r>
      <w:r w:rsidR="00347318">
        <w:rPr>
          <w:color w:val="auto"/>
          <w:szCs w:val="24"/>
        </w:rPr>
        <w:t>.</w:t>
      </w:r>
    </w:p>
    <w:bookmarkEnd w:id="2"/>
    <w:p w14:paraId="4095EF4D" w14:textId="31C8797C" w:rsidR="00CE30E6" w:rsidRPr="003C4825" w:rsidRDefault="00CE30E6" w:rsidP="00176A80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3C4825">
        <w:rPr>
          <w:color w:val="auto"/>
          <w:szCs w:val="24"/>
        </w:rPr>
        <w:t>Work</w:t>
      </w:r>
      <w:r w:rsidR="00347318">
        <w:rPr>
          <w:color w:val="auto"/>
          <w:szCs w:val="24"/>
        </w:rPr>
        <w:t>s</w:t>
      </w:r>
      <w:r w:rsidRPr="003C4825">
        <w:rPr>
          <w:color w:val="auto"/>
          <w:szCs w:val="24"/>
        </w:rPr>
        <w:t xml:space="preserve"> across the sector to </w:t>
      </w:r>
      <w:r w:rsidR="00176A80" w:rsidRPr="001A3D0C">
        <w:rPr>
          <w:color w:val="auto"/>
          <w:szCs w:val="24"/>
        </w:rPr>
        <w:t>improve alignment</w:t>
      </w:r>
      <w:r w:rsidR="001028F7" w:rsidRPr="001A3D0C">
        <w:rPr>
          <w:color w:val="auto"/>
          <w:szCs w:val="24"/>
        </w:rPr>
        <w:t xml:space="preserve"> of policies and guidance </w:t>
      </w:r>
      <w:r w:rsidR="001028F7" w:rsidRPr="003C4825">
        <w:rPr>
          <w:color w:val="auto"/>
          <w:szCs w:val="24"/>
        </w:rPr>
        <w:t>on data, records, and information management.</w:t>
      </w:r>
    </w:p>
    <w:p w14:paraId="70F834C4" w14:textId="73D70CCC" w:rsidR="001028F7" w:rsidRPr="003C4825" w:rsidRDefault="001028F7" w:rsidP="001028F7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3C4825">
        <w:rPr>
          <w:color w:val="auto"/>
          <w:szCs w:val="24"/>
        </w:rPr>
        <w:t>Provide</w:t>
      </w:r>
      <w:r w:rsidR="00347318">
        <w:rPr>
          <w:color w:val="auto"/>
          <w:szCs w:val="24"/>
        </w:rPr>
        <w:t>s</w:t>
      </w:r>
      <w:r w:rsidRPr="003C4825">
        <w:rPr>
          <w:color w:val="auto"/>
          <w:szCs w:val="24"/>
        </w:rPr>
        <w:t xml:space="preserve"> clear </w:t>
      </w:r>
      <w:r w:rsidRPr="001A3D0C">
        <w:rPr>
          <w:color w:val="auto"/>
          <w:szCs w:val="24"/>
        </w:rPr>
        <w:t>advice on pathways and options for data sharing</w:t>
      </w:r>
      <w:r w:rsidRPr="003C4825">
        <w:rPr>
          <w:color w:val="auto"/>
          <w:szCs w:val="24"/>
        </w:rPr>
        <w:t xml:space="preserve">, under the legislation and more broadly, for key interagency projects that require data sharing. </w:t>
      </w:r>
    </w:p>
    <w:p w14:paraId="1C034029" w14:textId="72E94649" w:rsidR="006F6B55" w:rsidRPr="003C4825" w:rsidRDefault="006F6B55" w:rsidP="001028F7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1A3D0C">
        <w:rPr>
          <w:color w:val="auto"/>
          <w:szCs w:val="24"/>
        </w:rPr>
        <w:t>Lead</w:t>
      </w:r>
      <w:r w:rsidR="00347318">
        <w:rPr>
          <w:color w:val="auto"/>
          <w:szCs w:val="24"/>
        </w:rPr>
        <w:t>s</w:t>
      </w:r>
      <w:r w:rsidRPr="001A3D0C">
        <w:rPr>
          <w:color w:val="auto"/>
          <w:szCs w:val="24"/>
        </w:rPr>
        <w:t xml:space="preserve"> implementation</w:t>
      </w:r>
      <w:r w:rsidRPr="003C4825">
        <w:rPr>
          <w:color w:val="auto"/>
          <w:szCs w:val="24"/>
        </w:rPr>
        <w:t xml:space="preserve"> </w:t>
      </w:r>
      <w:r w:rsidR="00347318">
        <w:rPr>
          <w:color w:val="auto"/>
          <w:szCs w:val="24"/>
        </w:rPr>
        <w:t xml:space="preserve">of </w:t>
      </w:r>
      <w:r w:rsidRPr="003C4825">
        <w:rPr>
          <w:color w:val="auto"/>
          <w:szCs w:val="24"/>
        </w:rPr>
        <w:t>the WA Government Information Classification Policy.</w:t>
      </w:r>
    </w:p>
    <w:p w14:paraId="530A2966" w14:textId="77777777" w:rsidR="00CE30E6" w:rsidRPr="00CE30E6" w:rsidRDefault="00CE30E6" w:rsidP="00CE30E6">
      <w:pPr>
        <w:pStyle w:val="Heading3"/>
        <w:rPr>
          <w:rFonts w:cs="Arial"/>
          <w:sz w:val="24"/>
        </w:rPr>
      </w:pPr>
      <w:bookmarkStart w:id="3" w:name="_Hlk95112177"/>
      <w:r w:rsidRPr="00CE30E6">
        <w:rPr>
          <w:rFonts w:cs="Arial"/>
          <w:sz w:val="24"/>
        </w:rPr>
        <w:t xml:space="preserve">Stakeholder engagement </w:t>
      </w:r>
    </w:p>
    <w:p w14:paraId="7E95D54E" w14:textId="67DBA034" w:rsidR="00E42672" w:rsidRPr="00347318" w:rsidRDefault="00347318" w:rsidP="00E42672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>
        <w:rPr>
          <w:color w:val="auto"/>
          <w:szCs w:val="24"/>
        </w:rPr>
        <w:t>Engages with a wide range of</w:t>
      </w:r>
      <w:r w:rsidR="00E42672" w:rsidRPr="00347318">
        <w:rPr>
          <w:color w:val="auto"/>
          <w:szCs w:val="24"/>
        </w:rPr>
        <w:t xml:space="preserve"> stakeholder</w:t>
      </w:r>
      <w:r>
        <w:rPr>
          <w:color w:val="auto"/>
          <w:szCs w:val="24"/>
        </w:rPr>
        <w:t>s</w:t>
      </w:r>
      <w:r w:rsidR="00E42672" w:rsidRPr="00347318">
        <w:rPr>
          <w:color w:val="auto"/>
          <w:szCs w:val="24"/>
        </w:rPr>
        <w:t xml:space="preserve"> including </w:t>
      </w:r>
      <w:r>
        <w:rPr>
          <w:color w:val="auto"/>
          <w:szCs w:val="24"/>
        </w:rPr>
        <w:t>public sector</w:t>
      </w:r>
      <w:r w:rsidR="00E42672" w:rsidRPr="00347318">
        <w:rPr>
          <w:color w:val="auto"/>
          <w:szCs w:val="24"/>
        </w:rPr>
        <w:t xml:space="preserve"> agencies, medical researchers, A</w:t>
      </w:r>
      <w:r w:rsidR="00650391" w:rsidRPr="00347318">
        <w:rPr>
          <w:color w:val="auto"/>
          <w:szCs w:val="24"/>
        </w:rPr>
        <w:t xml:space="preserve">boriginal </w:t>
      </w:r>
      <w:r w:rsidR="00883DED" w:rsidRPr="00347318">
        <w:rPr>
          <w:color w:val="auto"/>
          <w:szCs w:val="24"/>
        </w:rPr>
        <w:t xml:space="preserve">community-controlled </w:t>
      </w:r>
      <w:r w:rsidR="00650391" w:rsidRPr="00347318">
        <w:rPr>
          <w:color w:val="auto"/>
          <w:szCs w:val="24"/>
        </w:rPr>
        <w:t>organisations</w:t>
      </w:r>
      <w:r w:rsidR="00E42672" w:rsidRPr="00347318">
        <w:rPr>
          <w:color w:val="auto"/>
          <w:szCs w:val="24"/>
        </w:rPr>
        <w:t xml:space="preserve">, community service providers, universities and other jurisdictions to </w:t>
      </w:r>
      <w:r w:rsidR="00E42672" w:rsidRPr="001A3D0C">
        <w:rPr>
          <w:color w:val="auto"/>
          <w:szCs w:val="24"/>
        </w:rPr>
        <w:t xml:space="preserve">provide accurate advice </w:t>
      </w:r>
      <w:r>
        <w:rPr>
          <w:color w:val="auto"/>
          <w:szCs w:val="24"/>
        </w:rPr>
        <w:t>to support</w:t>
      </w:r>
      <w:r w:rsidR="00E42672" w:rsidRPr="001A3D0C">
        <w:rPr>
          <w:color w:val="auto"/>
          <w:szCs w:val="24"/>
        </w:rPr>
        <w:t xml:space="preserve"> inter-entity data sharing</w:t>
      </w:r>
      <w:r w:rsidR="00E42672" w:rsidRPr="00347318">
        <w:rPr>
          <w:color w:val="auto"/>
          <w:szCs w:val="24"/>
        </w:rPr>
        <w:t xml:space="preserve"> projects</w:t>
      </w:r>
      <w:r w:rsidR="001028F7" w:rsidRPr="00347318">
        <w:rPr>
          <w:color w:val="auto"/>
          <w:szCs w:val="24"/>
        </w:rPr>
        <w:t>.</w:t>
      </w:r>
    </w:p>
    <w:p w14:paraId="3CA9B34F" w14:textId="173FB5AE" w:rsidR="00E42672" w:rsidRPr="00347318" w:rsidRDefault="001028F7" w:rsidP="00E42672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347318">
        <w:rPr>
          <w:color w:val="auto"/>
          <w:szCs w:val="24"/>
        </w:rPr>
        <w:t>Establish</w:t>
      </w:r>
      <w:r w:rsidR="00347318" w:rsidRPr="00347318">
        <w:rPr>
          <w:color w:val="auto"/>
          <w:szCs w:val="24"/>
        </w:rPr>
        <w:t>es</w:t>
      </w:r>
      <w:r w:rsidRPr="00347318">
        <w:rPr>
          <w:color w:val="auto"/>
          <w:szCs w:val="24"/>
        </w:rPr>
        <w:t xml:space="preserve"> and o</w:t>
      </w:r>
      <w:r w:rsidR="00E42672" w:rsidRPr="00347318">
        <w:rPr>
          <w:color w:val="auto"/>
          <w:szCs w:val="24"/>
        </w:rPr>
        <w:t>versee</w:t>
      </w:r>
      <w:r w:rsidR="00347318" w:rsidRPr="00347318">
        <w:rPr>
          <w:color w:val="auto"/>
          <w:szCs w:val="24"/>
        </w:rPr>
        <w:t>s</w:t>
      </w:r>
      <w:r w:rsidR="00E42672" w:rsidRPr="00347318">
        <w:rPr>
          <w:color w:val="auto"/>
          <w:szCs w:val="24"/>
        </w:rPr>
        <w:t xml:space="preserve"> </w:t>
      </w:r>
      <w:r w:rsidR="00E42672" w:rsidRPr="001A3D0C">
        <w:rPr>
          <w:color w:val="auto"/>
          <w:szCs w:val="24"/>
        </w:rPr>
        <w:t>interagency committees and forums</w:t>
      </w:r>
      <w:r w:rsidR="00347318">
        <w:rPr>
          <w:color w:val="auto"/>
          <w:szCs w:val="24"/>
        </w:rPr>
        <w:t xml:space="preserve">, such as </w:t>
      </w:r>
      <w:r w:rsidR="00B31672" w:rsidRPr="00347318">
        <w:rPr>
          <w:color w:val="auto"/>
          <w:szCs w:val="24"/>
        </w:rPr>
        <w:t>the PRIS Advisory Committee and an Information Management Community of Practice</w:t>
      </w:r>
      <w:r w:rsidRPr="00347318">
        <w:rPr>
          <w:color w:val="auto"/>
          <w:szCs w:val="24"/>
        </w:rPr>
        <w:t>.</w:t>
      </w:r>
    </w:p>
    <w:p w14:paraId="788D66FB" w14:textId="0F66AFAE" w:rsidR="00B31672" w:rsidRPr="00347318" w:rsidRDefault="00347318" w:rsidP="00CE30E6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>
        <w:rPr>
          <w:color w:val="auto"/>
          <w:szCs w:val="24"/>
        </w:rPr>
        <w:t>B</w:t>
      </w:r>
      <w:r w:rsidR="00B31672" w:rsidRPr="001A3D0C">
        <w:rPr>
          <w:color w:val="auto"/>
          <w:szCs w:val="24"/>
        </w:rPr>
        <w:t>uild</w:t>
      </w:r>
      <w:r>
        <w:rPr>
          <w:color w:val="auto"/>
          <w:szCs w:val="24"/>
        </w:rPr>
        <w:t>s</w:t>
      </w:r>
      <w:r w:rsidR="00B31672" w:rsidRPr="001A3D0C">
        <w:rPr>
          <w:color w:val="auto"/>
          <w:szCs w:val="24"/>
        </w:rPr>
        <w:t xml:space="preserve"> sector</w:t>
      </w:r>
      <w:r>
        <w:rPr>
          <w:color w:val="auto"/>
          <w:szCs w:val="24"/>
        </w:rPr>
        <w:t>-wide</w:t>
      </w:r>
      <w:r w:rsidR="00B31672" w:rsidRPr="001A3D0C">
        <w:rPr>
          <w:color w:val="auto"/>
          <w:szCs w:val="24"/>
        </w:rPr>
        <w:t xml:space="preserve"> readiness and capability</w:t>
      </w:r>
      <w:r w:rsidR="00B31672" w:rsidRPr="00347318">
        <w:rPr>
          <w:color w:val="auto"/>
          <w:szCs w:val="24"/>
        </w:rPr>
        <w:t xml:space="preserve"> in information sharing</w:t>
      </w:r>
      <w:r w:rsidR="001028F7" w:rsidRPr="00347318">
        <w:rPr>
          <w:color w:val="auto"/>
          <w:szCs w:val="24"/>
        </w:rPr>
        <w:t>.</w:t>
      </w:r>
    </w:p>
    <w:p w14:paraId="10074370" w14:textId="77777777" w:rsidR="00CE30E6" w:rsidRPr="00CE30E6" w:rsidRDefault="00CE30E6" w:rsidP="00CE30E6">
      <w:pPr>
        <w:pStyle w:val="Heading3"/>
        <w:rPr>
          <w:rFonts w:cs="Arial"/>
          <w:sz w:val="24"/>
        </w:rPr>
      </w:pPr>
      <w:r w:rsidRPr="00CE30E6">
        <w:rPr>
          <w:rFonts w:cs="Arial"/>
          <w:sz w:val="24"/>
        </w:rPr>
        <w:t>Leadership and management</w:t>
      </w:r>
    </w:p>
    <w:bookmarkEnd w:id="3"/>
    <w:p w14:paraId="01B2E6CC" w14:textId="32DDCD52" w:rsidR="00CE30E6" w:rsidRPr="00347318" w:rsidRDefault="00CE30E6" w:rsidP="00CE30E6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347318">
        <w:rPr>
          <w:color w:val="auto"/>
          <w:szCs w:val="24"/>
        </w:rPr>
        <w:t>Foster</w:t>
      </w:r>
      <w:r w:rsidR="00347318" w:rsidRPr="00347318">
        <w:rPr>
          <w:color w:val="auto"/>
          <w:szCs w:val="24"/>
        </w:rPr>
        <w:t>s</w:t>
      </w:r>
      <w:r w:rsidRPr="00347318">
        <w:rPr>
          <w:color w:val="auto"/>
          <w:szCs w:val="24"/>
        </w:rPr>
        <w:t xml:space="preserve"> a </w:t>
      </w:r>
      <w:r w:rsidR="00BE6555" w:rsidRPr="00BE6555">
        <w:rPr>
          <w:color w:val="auto"/>
          <w:szCs w:val="24"/>
        </w:rPr>
        <w:t>high-performance</w:t>
      </w:r>
      <w:r w:rsidRPr="001A3D0C">
        <w:rPr>
          <w:color w:val="auto"/>
          <w:szCs w:val="24"/>
        </w:rPr>
        <w:t xml:space="preserve"> culture</w:t>
      </w:r>
      <w:r w:rsidRPr="00347318">
        <w:rPr>
          <w:color w:val="auto"/>
          <w:szCs w:val="24"/>
        </w:rPr>
        <w:t xml:space="preserve"> </w:t>
      </w:r>
      <w:r w:rsidR="00347318">
        <w:rPr>
          <w:color w:val="auto"/>
          <w:szCs w:val="24"/>
        </w:rPr>
        <w:t>that supports</w:t>
      </w:r>
      <w:r w:rsidRPr="00347318">
        <w:rPr>
          <w:color w:val="auto"/>
          <w:szCs w:val="24"/>
        </w:rPr>
        <w:t xml:space="preserve"> staff to achieve results in a positive </w:t>
      </w:r>
      <w:r w:rsidR="00347318">
        <w:rPr>
          <w:color w:val="auto"/>
          <w:szCs w:val="24"/>
        </w:rPr>
        <w:t xml:space="preserve">and collaborative </w:t>
      </w:r>
      <w:r w:rsidRPr="00347318">
        <w:rPr>
          <w:color w:val="auto"/>
          <w:szCs w:val="24"/>
        </w:rPr>
        <w:t>environment</w:t>
      </w:r>
      <w:r w:rsidR="001028F7" w:rsidRPr="00347318">
        <w:rPr>
          <w:color w:val="auto"/>
          <w:szCs w:val="24"/>
        </w:rPr>
        <w:t>.</w:t>
      </w:r>
    </w:p>
    <w:p w14:paraId="474CE20C" w14:textId="4D79D1E4" w:rsidR="00CE30E6" w:rsidRPr="00347318" w:rsidRDefault="00CE30E6" w:rsidP="00CE30E6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347318">
        <w:rPr>
          <w:color w:val="auto"/>
          <w:szCs w:val="24"/>
        </w:rPr>
        <w:t>Lead</w:t>
      </w:r>
      <w:r w:rsidR="00347318">
        <w:rPr>
          <w:color w:val="auto"/>
          <w:szCs w:val="24"/>
        </w:rPr>
        <w:t>s</w:t>
      </w:r>
      <w:r w:rsidRPr="00347318">
        <w:rPr>
          <w:color w:val="auto"/>
          <w:szCs w:val="24"/>
        </w:rPr>
        <w:t xml:space="preserve"> and motivate</w:t>
      </w:r>
      <w:r w:rsidR="00347318">
        <w:rPr>
          <w:color w:val="auto"/>
          <w:szCs w:val="24"/>
        </w:rPr>
        <w:t>s</w:t>
      </w:r>
      <w:r w:rsidRPr="00347318">
        <w:rPr>
          <w:color w:val="auto"/>
          <w:szCs w:val="24"/>
        </w:rPr>
        <w:t xml:space="preserve"> a team to </w:t>
      </w:r>
      <w:r w:rsidRPr="001A3D0C">
        <w:rPr>
          <w:color w:val="auto"/>
          <w:szCs w:val="24"/>
        </w:rPr>
        <w:t xml:space="preserve">develop policy and </w:t>
      </w:r>
      <w:r w:rsidR="00347318">
        <w:rPr>
          <w:color w:val="auto"/>
          <w:szCs w:val="24"/>
        </w:rPr>
        <w:t>guidance</w:t>
      </w:r>
      <w:r w:rsidR="00347318" w:rsidRPr="00347318">
        <w:rPr>
          <w:color w:val="auto"/>
          <w:szCs w:val="24"/>
        </w:rPr>
        <w:t xml:space="preserve"> </w:t>
      </w:r>
      <w:r w:rsidRPr="00347318">
        <w:rPr>
          <w:color w:val="auto"/>
          <w:szCs w:val="24"/>
        </w:rPr>
        <w:t xml:space="preserve">that supports the sector in </w:t>
      </w:r>
      <w:r w:rsidR="00155C99" w:rsidRPr="00347318">
        <w:rPr>
          <w:color w:val="auto"/>
          <w:szCs w:val="24"/>
        </w:rPr>
        <w:t xml:space="preserve">sharing data safely </w:t>
      </w:r>
      <w:r w:rsidRPr="00347318">
        <w:rPr>
          <w:color w:val="auto"/>
          <w:szCs w:val="24"/>
        </w:rPr>
        <w:t>to make decisions and drive change.</w:t>
      </w:r>
    </w:p>
    <w:p w14:paraId="6B88BA34" w14:textId="5663B731" w:rsidR="00CE30E6" w:rsidRPr="00347318" w:rsidRDefault="00347318" w:rsidP="00CE30E6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>
        <w:rPr>
          <w:color w:val="auto"/>
          <w:szCs w:val="24"/>
        </w:rPr>
        <w:t xml:space="preserve">Contributes to the </w:t>
      </w:r>
      <w:r w:rsidRPr="00347318">
        <w:rPr>
          <w:color w:val="auto"/>
          <w:szCs w:val="24"/>
        </w:rPr>
        <w:t>direction, operations and outcomes</w:t>
      </w:r>
      <w:r w:rsidR="00CE30E6" w:rsidRPr="00347318">
        <w:rPr>
          <w:color w:val="auto"/>
          <w:szCs w:val="24"/>
        </w:rPr>
        <w:t xml:space="preserve"> of the Data Unit management team</w:t>
      </w:r>
      <w:r>
        <w:rPr>
          <w:color w:val="auto"/>
          <w:szCs w:val="24"/>
        </w:rPr>
        <w:t>.</w:t>
      </w:r>
    </w:p>
    <w:bookmarkEnd w:id="1"/>
    <w:p w14:paraId="32AF7670" w14:textId="3FD4712F" w:rsidR="00756536" w:rsidRPr="00070651" w:rsidRDefault="00F167A5" w:rsidP="00C4763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Corporate</w:t>
      </w:r>
      <w:r w:rsidR="004A4EC3" w:rsidRPr="00070651">
        <w:rPr>
          <w:sz w:val="24"/>
          <w:szCs w:val="24"/>
        </w:rPr>
        <w:t xml:space="preserve"> </w:t>
      </w:r>
      <w:r w:rsidR="00756536" w:rsidRPr="00070651">
        <w:rPr>
          <w:sz w:val="24"/>
          <w:szCs w:val="24"/>
        </w:rPr>
        <w:t>Responsibilities</w:t>
      </w:r>
    </w:p>
    <w:p w14:paraId="2C021AC5" w14:textId="77777777" w:rsidR="00F167A5" w:rsidRPr="00796E74" w:rsidRDefault="00F167A5" w:rsidP="00CF070B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796E74">
        <w:rPr>
          <w:color w:val="auto"/>
          <w:szCs w:val="24"/>
        </w:rPr>
        <w:t>Exhibits accountability, professional integrity and respect consistent with DPC Values, the Code of Conduct, and the public sector Code of Ethics.</w:t>
      </w:r>
    </w:p>
    <w:p w14:paraId="67C9CBAC" w14:textId="77777777" w:rsidR="00F167A5" w:rsidRDefault="00F167A5" w:rsidP="00CF070B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405858">
        <w:rPr>
          <w:color w:val="auto"/>
          <w:szCs w:val="24"/>
        </w:rPr>
        <w:lastRenderedPageBreak/>
        <w:t xml:space="preserve">Takes reasonable care to protect your own safety and health at work, and that of others by co-operating with the safety and health policies and procedures of the Department and complying with all provisions of the </w:t>
      </w:r>
      <w:r w:rsidRPr="00A972A4">
        <w:rPr>
          <w:i/>
          <w:iCs/>
          <w:color w:val="auto"/>
          <w:szCs w:val="24"/>
        </w:rPr>
        <w:t>Work Health and Safety Act 2020</w:t>
      </w:r>
    </w:p>
    <w:p w14:paraId="43976E59" w14:textId="77777777" w:rsidR="00F167A5" w:rsidRPr="0098212A" w:rsidRDefault="00F167A5" w:rsidP="00CF070B">
      <w:pPr>
        <w:pStyle w:val="ListParagraph"/>
        <w:numPr>
          <w:ilvl w:val="0"/>
          <w:numId w:val="18"/>
        </w:numPr>
        <w:ind w:left="360" w:hanging="360"/>
        <w:rPr>
          <w:color w:val="auto"/>
          <w:szCs w:val="24"/>
        </w:rPr>
      </w:pPr>
      <w:r w:rsidRPr="0098212A">
        <w:rPr>
          <w:color w:val="auto"/>
          <w:szCs w:val="24"/>
        </w:rPr>
        <w:t>Undertakes other duties as required.</w:t>
      </w:r>
    </w:p>
    <w:p w14:paraId="53311947" w14:textId="18BEF484" w:rsidR="00B646FB" w:rsidRPr="00070651" w:rsidRDefault="007421AD" w:rsidP="00C4763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Work Related Capabilities (Selection Criteria)</w:t>
      </w:r>
    </w:p>
    <w:p w14:paraId="15FBE0E0" w14:textId="2C1383DC" w:rsidR="00CE30E6" w:rsidRPr="00BE6555" w:rsidRDefault="00CE30E6" w:rsidP="00CE30E6">
      <w:pPr>
        <w:pStyle w:val="ListParagraph"/>
        <w:numPr>
          <w:ilvl w:val="0"/>
          <w:numId w:val="9"/>
        </w:numPr>
        <w:ind w:left="360" w:hanging="360"/>
        <w:rPr>
          <w:color w:val="auto"/>
        </w:rPr>
      </w:pPr>
      <w:r w:rsidRPr="00BE6555">
        <w:rPr>
          <w:color w:val="auto"/>
        </w:rPr>
        <w:t xml:space="preserve">Extensive ability in </w:t>
      </w:r>
      <w:r w:rsidR="00883DED" w:rsidRPr="00BE6555">
        <w:rPr>
          <w:color w:val="auto"/>
        </w:rPr>
        <w:t xml:space="preserve">high level </w:t>
      </w:r>
      <w:r w:rsidRPr="001A3D0C">
        <w:rPr>
          <w:color w:val="auto"/>
        </w:rPr>
        <w:t>policy and governance development</w:t>
      </w:r>
    </w:p>
    <w:p w14:paraId="7AEEA1ED" w14:textId="053BC065" w:rsidR="00CE30E6" w:rsidRPr="00347318" w:rsidRDefault="00BB2C4B" w:rsidP="00CE30E6">
      <w:pPr>
        <w:pStyle w:val="ListParagraph"/>
        <w:numPr>
          <w:ilvl w:val="0"/>
          <w:numId w:val="9"/>
        </w:numPr>
        <w:ind w:left="360" w:hanging="360"/>
        <w:rPr>
          <w:color w:val="auto"/>
        </w:rPr>
      </w:pPr>
      <w:r w:rsidRPr="00347318">
        <w:rPr>
          <w:color w:val="auto"/>
        </w:rPr>
        <w:t xml:space="preserve">Proven </w:t>
      </w:r>
      <w:r w:rsidR="00BE6555">
        <w:rPr>
          <w:color w:val="auto"/>
        </w:rPr>
        <w:t xml:space="preserve">ability to </w:t>
      </w:r>
      <w:r w:rsidR="00CE30E6" w:rsidRPr="001A3D0C">
        <w:rPr>
          <w:color w:val="auto"/>
        </w:rPr>
        <w:t xml:space="preserve">lead </w:t>
      </w:r>
      <w:r w:rsidR="00BE6555">
        <w:rPr>
          <w:color w:val="auto"/>
        </w:rPr>
        <w:t xml:space="preserve">and influence </w:t>
      </w:r>
      <w:r w:rsidR="00CE30E6" w:rsidRPr="001A3D0C">
        <w:rPr>
          <w:color w:val="auto"/>
        </w:rPr>
        <w:t>external stakeholders</w:t>
      </w:r>
      <w:r w:rsidRPr="001A3D0C">
        <w:rPr>
          <w:color w:val="auto"/>
        </w:rPr>
        <w:t xml:space="preserve">, </w:t>
      </w:r>
      <w:r w:rsidRPr="00347318">
        <w:rPr>
          <w:color w:val="auto"/>
        </w:rPr>
        <w:t>including senior executive and technical experts,</w:t>
      </w:r>
      <w:r w:rsidR="00CE30E6" w:rsidRPr="00347318">
        <w:rPr>
          <w:color w:val="auto"/>
        </w:rPr>
        <w:t xml:space="preserve"> to </w:t>
      </w:r>
      <w:r w:rsidR="003C47A8" w:rsidRPr="00347318">
        <w:rPr>
          <w:color w:val="auto"/>
        </w:rPr>
        <w:t>collaborate</w:t>
      </w:r>
      <w:r w:rsidR="00BE6555">
        <w:rPr>
          <w:color w:val="auto"/>
        </w:rPr>
        <w:t xml:space="preserve"> effectively</w:t>
      </w:r>
      <w:r w:rsidR="003C47A8" w:rsidRPr="00347318">
        <w:rPr>
          <w:color w:val="auto"/>
        </w:rPr>
        <w:t xml:space="preserve"> and </w:t>
      </w:r>
      <w:r w:rsidR="00CE30E6" w:rsidRPr="00347318">
        <w:rPr>
          <w:color w:val="auto"/>
        </w:rPr>
        <w:t>achieve outcomes</w:t>
      </w:r>
    </w:p>
    <w:p w14:paraId="2FC6F5EA" w14:textId="2A72AE78" w:rsidR="00CE30E6" w:rsidRPr="00347318" w:rsidRDefault="00CE30E6" w:rsidP="00CE30E6">
      <w:pPr>
        <w:pStyle w:val="ListParagraph"/>
        <w:numPr>
          <w:ilvl w:val="0"/>
          <w:numId w:val="9"/>
        </w:numPr>
        <w:ind w:left="360" w:hanging="360"/>
        <w:rPr>
          <w:color w:val="auto"/>
        </w:rPr>
      </w:pPr>
      <w:r w:rsidRPr="00347318">
        <w:rPr>
          <w:color w:val="auto"/>
        </w:rPr>
        <w:t xml:space="preserve">Demonstrated </w:t>
      </w:r>
      <w:r w:rsidRPr="001A3D0C">
        <w:rPr>
          <w:color w:val="auto"/>
        </w:rPr>
        <w:t>leadership and management</w:t>
      </w:r>
      <w:r w:rsidRPr="00347318">
        <w:rPr>
          <w:color w:val="auto"/>
        </w:rPr>
        <w:t xml:space="preserve"> experience, including the ability to lead specialist teams</w:t>
      </w:r>
    </w:p>
    <w:p w14:paraId="7ED4CC60" w14:textId="0EAC20A6" w:rsidR="00CE30E6" w:rsidRPr="00347318" w:rsidRDefault="00BE6555" w:rsidP="00CE30E6">
      <w:pPr>
        <w:pStyle w:val="ListParagraph"/>
        <w:numPr>
          <w:ilvl w:val="0"/>
          <w:numId w:val="9"/>
        </w:numPr>
        <w:ind w:left="360" w:hanging="360"/>
        <w:rPr>
          <w:color w:val="auto"/>
        </w:rPr>
      </w:pPr>
      <w:r>
        <w:rPr>
          <w:color w:val="auto"/>
        </w:rPr>
        <w:t>Highly development analytical skills with a d</w:t>
      </w:r>
      <w:r w:rsidR="00BB2C4B" w:rsidRPr="00347318">
        <w:rPr>
          <w:color w:val="auto"/>
        </w:rPr>
        <w:t>emonstrated a</w:t>
      </w:r>
      <w:r w:rsidR="00CE30E6" w:rsidRPr="00347318">
        <w:rPr>
          <w:color w:val="auto"/>
        </w:rPr>
        <w:t xml:space="preserve">bility to </w:t>
      </w:r>
      <w:r w:rsidR="00CE30E6" w:rsidRPr="001A3D0C">
        <w:rPr>
          <w:color w:val="auto"/>
        </w:rPr>
        <w:t>solve complex</w:t>
      </w:r>
      <w:r w:rsidR="00BB2C4B" w:rsidRPr="001A3D0C">
        <w:rPr>
          <w:color w:val="auto"/>
        </w:rPr>
        <w:t>, multifaceted</w:t>
      </w:r>
      <w:r w:rsidR="00CE30E6" w:rsidRPr="001A3D0C">
        <w:rPr>
          <w:color w:val="auto"/>
        </w:rPr>
        <w:t xml:space="preserve"> problems</w:t>
      </w:r>
      <w:r w:rsidR="00CE30E6" w:rsidRPr="00347318">
        <w:rPr>
          <w:color w:val="auto"/>
        </w:rPr>
        <w:t xml:space="preserve"> and identify solutions </w:t>
      </w:r>
    </w:p>
    <w:p w14:paraId="38B56FFB" w14:textId="07005375" w:rsidR="003C47A8" w:rsidRPr="00347318" w:rsidRDefault="00BE6555" w:rsidP="003C47A8">
      <w:pPr>
        <w:pStyle w:val="ListParagraph"/>
        <w:numPr>
          <w:ilvl w:val="0"/>
          <w:numId w:val="9"/>
        </w:numPr>
        <w:ind w:left="360" w:hanging="360"/>
        <w:rPr>
          <w:color w:val="auto"/>
        </w:rPr>
      </w:pPr>
      <w:r>
        <w:rPr>
          <w:color w:val="auto"/>
        </w:rPr>
        <w:t>Exceptional w</w:t>
      </w:r>
      <w:r w:rsidR="00CE30E6" w:rsidRPr="001A3D0C">
        <w:rPr>
          <w:color w:val="auto"/>
        </w:rPr>
        <w:t>ritten communication</w:t>
      </w:r>
      <w:r>
        <w:rPr>
          <w:color w:val="auto"/>
        </w:rPr>
        <w:t xml:space="preserve"> skills</w:t>
      </w:r>
      <w:r w:rsidR="00CE30E6" w:rsidRPr="00347318">
        <w:rPr>
          <w:color w:val="auto"/>
        </w:rPr>
        <w:t xml:space="preserve">, with the ability to </w:t>
      </w:r>
      <w:r w:rsidR="003C47A8" w:rsidRPr="00347318">
        <w:rPr>
          <w:color w:val="auto"/>
        </w:rPr>
        <w:t xml:space="preserve">develop </w:t>
      </w:r>
      <w:r w:rsidR="003C47A8" w:rsidRPr="001A3D0C">
        <w:rPr>
          <w:color w:val="auto"/>
        </w:rPr>
        <w:t>specialist instruments</w:t>
      </w:r>
      <w:r w:rsidR="003C47A8" w:rsidRPr="00347318">
        <w:rPr>
          <w:color w:val="auto"/>
        </w:rPr>
        <w:t xml:space="preserve"> such as regulations, guidance, cabinet submissions</w:t>
      </w:r>
      <w:r>
        <w:rPr>
          <w:color w:val="auto"/>
        </w:rPr>
        <w:t>, and</w:t>
      </w:r>
      <w:r w:rsidR="003C47A8" w:rsidRPr="00347318">
        <w:rPr>
          <w:color w:val="auto"/>
        </w:rPr>
        <w:t xml:space="preserve"> frameworks</w:t>
      </w:r>
    </w:p>
    <w:p w14:paraId="226E72C5" w14:textId="77777777" w:rsidR="00155C99" w:rsidRDefault="00155C99" w:rsidP="00C45F38"/>
    <w:p w14:paraId="268B2915" w14:textId="22CCB5FD" w:rsidR="00631D31" w:rsidRPr="00D007E3" w:rsidRDefault="009514B1" w:rsidP="00C45F38">
      <w:r>
        <w:t>For permanent appointments y</w:t>
      </w:r>
      <w:r w:rsidR="00394896" w:rsidRPr="00070651">
        <w:t xml:space="preserve">ou must also be eligible to live and work in Australia indefinitely. </w:t>
      </w:r>
      <w:r w:rsidR="00631D31" w:rsidRPr="00D007E3">
        <w:t xml:space="preserve">Employees engaged on fixed term appointments </w:t>
      </w:r>
      <w:r w:rsidR="00AE1B75">
        <w:t>need</w:t>
      </w:r>
      <w:r w:rsidR="00AE1B75" w:rsidRPr="00D007E3">
        <w:t xml:space="preserve"> </w:t>
      </w:r>
      <w:r w:rsidR="00631D31" w:rsidRPr="00D007E3">
        <w:t>a valid work visa for the duration of the</w:t>
      </w:r>
      <w:r w:rsidR="00AE1B75">
        <w:t>ir</w:t>
      </w:r>
      <w:r w:rsidR="00631D31" w:rsidRPr="00D007E3">
        <w:t xml:space="preserve"> contract.</w:t>
      </w:r>
    </w:p>
    <w:p w14:paraId="276BE7AD" w14:textId="1787F454" w:rsidR="005A2701" w:rsidRPr="004A3655" w:rsidRDefault="00631D31" w:rsidP="005A2701">
      <w:r w:rsidRPr="00D007E3">
        <w:t xml:space="preserve">Appointment is </w:t>
      </w:r>
      <w:r w:rsidR="00394896">
        <w:t xml:space="preserve">also </w:t>
      </w:r>
      <w:r w:rsidR="00AE1B75">
        <w:t xml:space="preserve">dependent on </w:t>
      </w:r>
      <w:r w:rsidR="00394896">
        <w:t xml:space="preserve">a </w:t>
      </w:r>
      <w:r w:rsidRPr="00D007E3">
        <w:t>100-point identification check and</w:t>
      </w:r>
      <w:r w:rsidR="00394896">
        <w:t xml:space="preserve"> </w:t>
      </w:r>
      <w:r w:rsidRPr="00D007E3">
        <w:t>Criminal Records Screening Clearance</w:t>
      </w:r>
      <w:r w:rsidR="00394896">
        <w:t>.</w:t>
      </w:r>
    </w:p>
    <w:p w14:paraId="6D4F21E1" w14:textId="483B5655" w:rsidR="005A2701" w:rsidRPr="00070651" w:rsidRDefault="005A2701" w:rsidP="00FF59CB">
      <w:pPr>
        <w:pStyle w:val="Heading1"/>
        <w:rPr>
          <w:sz w:val="24"/>
          <w:szCs w:val="24"/>
        </w:rPr>
      </w:pPr>
      <w:r w:rsidRPr="00070651">
        <w:rPr>
          <w:sz w:val="24"/>
          <w:szCs w:val="24"/>
        </w:rPr>
        <w:t>Certification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119"/>
        <w:gridCol w:w="1277"/>
      </w:tblGrid>
      <w:tr w:rsidR="005A2701" w:rsidRPr="005A2701" w14:paraId="1B760A90" w14:textId="77777777" w:rsidTr="006C1C4D">
        <w:trPr>
          <w:trHeight w:val="659"/>
        </w:trPr>
        <w:tc>
          <w:tcPr>
            <w:tcW w:w="3402" w:type="dxa"/>
          </w:tcPr>
          <w:p w14:paraId="6D4DECA5" w14:textId="001123AC" w:rsidR="005A2701" w:rsidRPr="00070651" w:rsidRDefault="006C1C4D" w:rsidP="0033476B">
            <w:pPr>
              <w:pStyle w:val="Heading3"/>
              <w:ind w:left="-113"/>
              <w:rPr>
                <w:sz w:val="24"/>
              </w:rPr>
            </w:pPr>
            <w:r w:rsidRPr="00070651">
              <w:rPr>
                <w:sz w:val="24"/>
              </w:rPr>
              <w:t>Authorising</w:t>
            </w:r>
            <w:r w:rsidR="005A2701" w:rsidRPr="00070651">
              <w:rPr>
                <w:sz w:val="24"/>
              </w:rPr>
              <w:t xml:space="preserve"> Signature:</w:t>
            </w:r>
          </w:p>
          <w:p w14:paraId="019B14E0" w14:textId="41E995B9" w:rsidR="002F64E9" w:rsidRPr="00C201F1" w:rsidRDefault="00864D30" w:rsidP="004B2309">
            <w:r>
              <w:rPr>
                <w:noProof/>
              </w:rPr>
              <w:drawing>
                <wp:inline distT="0" distB="0" distL="0" distR="0" wp14:anchorId="3921B2D9" wp14:editId="1EB98A7D">
                  <wp:extent cx="872743" cy="736600"/>
                  <wp:effectExtent l="0" t="0" r="3810" b="6350"/>
                  <wp:docPr id="1318028649" name="Picture 1" descr="A black lin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028649" name="Picture 1" descr="A black line on a white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547" cy="74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8C4626E" w14:textId="77777777" w:rsidR="005A2701" w:rsidRDefault="005A2701" w:rsidP="005A2701">
            <w:pPr>
              <w:rPr>
                <w:rFonts w:ascii="Neue Haas Grotesk Text Pro" w:hAnsi="Neue Haas Grotesk Text Pro"/>
                <w:b/>
              </w:rPr>
            </w:pPr>
          </w:p>
          <w:p w14:paraId="357C8B40" w14:textId="77777777" w:rsidR="002F64E9" w:rsidRPr="005A2701" w:rsidRDefault="002F64E9" w:rsidP="005A2701">
            <w:pPr>
              <w:rPr>
                <w:rFonts w:ascii="Neue Haas Grotesk Text Pro" w:hAnsi="Neue Haas Grotesk Text Pro"/>
                <w:b/>
              </w:rPr>
            </w:pPr>
          </w:p>
        </w:tc>
        <w:tc>
          <w:tcPr>
            <w:tcW w:w="3119" w:type="dxa"/>
          </w:tcPr>
          <w:p w14:paraId="05F6E0BC" w14:textId="695F2CF0" w:rsidR="005A2701" w:rsidRPr="00C47631" w:rsidRDefault="002F64E9" w:rsidP="00C47631">
            <w:pPr>
              <w:pStyle w:val="Heading3"/>
            </w:pPr>
            <w:r w:rsidRPr="002F64E9">
              <w:rPr>
                <w:sz w:val="24"/>
                <w:szCs w:val="22"/>
              </w:rPr>
              <w:t>People Services:</w:t>
            </w:r>
            <w:r w:rsidR="001A3D0C" w:rsidRPr="001A3D0C">
              <w:rPr>
                <w:rFonts w:ascii="Neue Haas Grotesk Text Pro" w:hAnsi="Neue Haas Grotesk Text Pro"/>
                <w:b w:val="0"/>
                <w:noProof/>
              </w:rPr>
              <w:t xml:space="preserve"> </w:t>
            </w:r>
            <w:r w:rsidR="001A3D0C" w:rsidRPr="001A3D0C">
              <w:rPr>
                <w:rFonts w:ascii="Neue Haas Grotesk Text Pro" w:hAnsi="Neue Haas Grotesk Text Pro"/>
                <w:b w:val="0"/>
                <w:noProof/>
              </w:rPr>
              <w:drawing>
                <wp:inline distT="0" distB="0" distL="0" distR="0" wp14:anchorId="576B4B65" wp14:editId="74999AB4">
                  <wp:extent cx="1767194" cy="498143"/>
                  <wp:effectExtent l="0" t="0" r="5080" b="0"/>
                  <wp:docPr id="1598178301" name="Picture 1" descr="A close up of a signatu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178301" name="Picture 1" descr="A close up of a signature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351" cy="50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14:paraId="6B183A00" w14:textId="06508FA5" w:rsidR="005A2701" w:rsidRPr="005A2701" w:rsidRDefault="005A2701" w:rsidP="005A2701">
            <w:pPr>
              <w:rPr>
                <w:rFonts w:ascii="Neue Haas Grotesk Text Pro" w:hAnsi="Neue Haas Grotesk Text Pro"/>
                <w:b/>
              </w:rPr>
            </w:pPr>
          </w:p>
        </w:tc>
      </w:tr>
      <w:tr w:rsidR="005A2701" w:rsidRPr="005A2701" w14:paraId="6C4AC279" w14:textId="77777777" w:rsidTr="006C1C4D">
        <w:trPr>
          <w:trHeight w:val="542"/>
        </w:trPr>
        <w:tc>
          <w:tcPr>
            <w:tcW w:w="3402" w:type="dxa"/>
          </w:tcPr>
          <w:p w14:paraId="39B9EABA" w14:textId="356FD7E0" w:rsidR="005A2701" w:rsidRPr="00070651" w:rsidRDefault="00AC73F2" w:rsidP="0033476B">
            <w:pPr>
              <w:pStyle w:val="Heading3"/>
              <w:ind w:hanging="113"/>
              <w:rPr>
                <w:sz w:val="24"/>
              </w:rPr>
            </w:pPr>
            <w:r w:rsidRPr="00070651">
              <w:rPr>
                <w:sz w:val="24"/>
              </w:rPr>
              <w:t>D</w:t>
            </w:r>
            <w:r w:rsidR="005A2701" w:rsidRPr="00070651">
              <w:rPr>
                <w:sz w:val="24"/>
              </w:rPr>
              <w:t>ate:</w:t>
            </w:r>
            <w:r w:rsidR="00864D30">
              <w:rPr>
                <w:sz w:val="24"/>
              </w:rPr>
              <w:t xml:space="preserve"> </w:t>
            </w:r>
            <w:r w:rsidR="00864D30">
              <w:rPr>
                <w:sz w:val="24"/>
                <w:szCs w:val="22"/>
              </w:rPr>
              <w:t>26/06/25</w:t>
            </w:r>
          </w:p>
        </w:tc>
        <w:tc>
          <w:tcPr>
            <w:tcW w:w="1701" w:type="dxa"/>
          </w:tcPr>
          <w:p w14:paraId="3344B80E" w14:textId="77777777" w:rsidR="005A2701" w:rsidRDefault="005A2701" w:rsidP="005A2701">
            <w:pPr>
              <w:rPr>
                <w:rFonts w:ascii="Neue Haas Grotesk Text Pro" w:hAnsi="Neue Haas Grotesk Text Pro"/>
                <w:b/>
              </w:rPr>
            </w:pPr>
          </w:p>
          <w:p w14:paraId="2C6EABD3" w14:textId="77777777" w:rsidR="004B2309" w:rsidRPr="005A2701" w:rsidRDefault="004B2309" w:rsidP="005A2701">
            <w:pPr>
              <w:rPr>
                <w:rFonts w:ascii="Neue Haas Grotesk Text Pro" w:hAnsi="Neue Haas Grotesk Text Pro"/>
                <w:b/>
              </w:rPr>
            </w:pPr>
          </w:p>
        </w:tc>
        <w:tc>
          <w:tcPr>
            <w:tcW w:w="3119" w:type="dxa"/>
          </w:tcPr>
          <w:p w14:paraId="2CC297B8" w14:textId="34C4951F" w:rsidR="005A2701" w:rsidRPr="005A2701" w:rsidRDefault="002F64E9" w:rsidP="00C47631">
            <w:pPr>
              <w:pStyle w:val="Heading3"/>
            </w:pPr>
            <w:r w:rsidRPr="002F64E9">
              <w:rPr>
                <w:sz w:val="24"/>
                <w:szCs w:val="22"/>
              </w:rPr>
              <w:t>Date:</w:t>
            </w:r>
            <w:r w:rsidR="001A3D0C">
              <w:rPr>
                <w:sz w:val="24"/>
                <w:szCs w:val="22"/>
              </w:rPr>
              <w:t xml:space="preserve"> 26/06/25</w:t>
            </w:r>
          </w:p>
        </w:tc>
        <w:tc>
          <w:tcPr>
            <w:tcW w:w="1277" w:type="dxa"/>
          </w:tcPr>
          <w:p w14:paraId="40432E0F" w14:textId="77777777" w:rsidR="005A2701" w:rsidRPr="005A2701" w:rsidRDefault="005A2701" w:rsidP="005A2701">
            <w:pPr>
              <w:rPr>
                <w:rFonts w:ascii="Neue Haas Grotesk Text Pro" w:hAnsi="Neue Haas Grotesk Text Pro"/>
                <w:b/>
              </w:rPr>
            </w:pPr>
          </w:p>
        </w:tc>
      </w:tr>
    </w:tbl>
    <w:p w14:paraId="48A53E74" w14:textId="77777777" w:rsidR="00756536" w:rsidRPr="00D007E3" w:rsidRDefault="00756536" w:rsidP="005A2701">
      <w:pPr>
        <w:rPr>
          <w:rFonts w:ascii="Neue Haas Grotesk Text Pro" w:hAnsi="Neue Haas Grotesk Text Pro"/>
        </w:rPr>
      </w:pPr>
    </w:p>
    <w:sectPr w:rsidR="00756536" w:rsidRPr="00D007E3" w:rsidSect="00280C0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33" w:right="1331" w:bottom="105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E875" w14:textId="77777777" w:rsidR="00CD6D64" w:rsidRDefault="00CD6D64" w:rsidP="00756536">
      <w:pPr>
        <w:spacing w:after="0" w:line="240" w:lineRule="auto"/>
      </w:pPr>
      <w:r>
        <w:separator/>
      </w:r>
    </w:p>
  </w:endnote>
  <w:endnote w:type="continuationSeparator" w:id="0">
    <w:p w14:paraId="5EE97AFE" w14:textId="77777777" w:rsidR="00CD6D64" w:rsidRDefault="00CD6D64" w:rsidP="0075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1015372"/>
      <w:docPartObj>
        <w:docPartGallery w:val="Page Numbers (Bottom of Page)"/>
        <w:docPartUnique/>
      </w:docPartObj>
    </w:sdtPr>
    <w:sdtContent>
      <w:p w14:paraId="6CD96385" w14:textId="2A9E5796" w:rsidR="0033476B" w:rsidRDefault="0033476B" w:rsidP="00207A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6EFF34" w14:textId="77777777" w:rsidR="0033476B" w:rsidRDefault="0033476B" w:rsidP="003347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56892396"/>
      <w:docPartObj>
        <w:docPartGallery w:val="Page Numbers (Bottom of Page)"/>
        <w:docPartUnique/>
      </w:docPartObj>
    </w:sdtPr>
    <w:sdtEndPr>
      <w:rPr>
        <w:rStyle w:val="PageNumber"/>
        <w:color w:val="C24227"/>
        <w:sz w:val="20"/>
        <w:szCs w:val="20"/>
      </w:rPr>
    </w:sdtEndPr>
    <w:sdtContent>
      <w:p w14:paraId="617EB55A" w14:textId="0EE884AC" w:rsidR="0033476B" w:rsidRPr="0033476B" w:rsidRDefault="0033476B" w:rsidP="00207AA4">
        <w:pPr>
          <w:pStyle w:val="Footer"/>
          <w:framePr w:wrap="none" w:vAnchor="text" w:hAnchor="margin" w:xAlign="right" w:y="1"/>
          <w:rPr>
            <w:rStyle w:val="PageNumber"/>
            <w:color w:val="C24227"/>
            <w:sz w:val="20"/>
            <w:szCs w:val="20"/>
          </w:rPr>
        </w:pPr>
        <w:r w:rsidRPr="0033476B">
          <w:rPr>
            <w:rStyle w:val="PageNumber"/>
            <w:color w:val="C24227"/>
            <w:sz w:val="20"/>
            <w:szCs w:val="20"/>
          </w:rPr>
          <w:fldChar w:fldCharType="begin"/>
        </w:r>
        <w:r w:rsidRPr="0033476B">
          <w:rPr>
            <w:rStyle w:val="PageNumber"/>
            <w:color w:val="C24227"/>
            <w:sz w:val="20"/>
            <w:szCs w:val="20"/>
          </w:rPr>
          <w:instrText xml:space="preserve"> PAGE </w:instrText>
        </w:r>
        <w:r w:rsidRPr="0033476B">
          <w:rPr>
            <w:rStyle w:val="PageNumber"/>
            <w:color w:val="C24227"/>
            <w:sz w:val="20"/>
            <w:szCs w:val="20"/>
          </w:rPr>
          <w:fldChar w:fldCharType="separate"/>
        </w:r>
        <w:r w:rsidRPr="0033476B">
          <w:rPr>
            <w:rStyle w:val="PageNumber"/>
            <w:noProof/>
            <w:color w:val="C24227"/>
            <w:sz w:val="20"/>
            <w:szCs w:val="20"/>
          </w:rPr>
          <w:t>2</w:t>
        </w:r>
        <w:r w:rsidRPr="0033476B">
          <w:rPr>
            <w:rStyle w:val="PageNumber"/>
            <w:color w:val="C24227"/>
            <w:sz w:val="20"/>
            <w:szCs w:val="20"/>
          </w:rPr>
          <w:fldChar w:fldCharType="end"/>
        </w:r>
      </w:p>
    </w:sdtContent>
  </w:sdt>
  <w:p w14:paraId="339A2963" w14:textId="0E81B6B4" w:rsidR="0033476B" w:rsidRPr="0033476B" w:rsidRDefault="0033476B" w:rsidP="0033476B">
    <w:pPr>
      <w:pStyle w:val="Footer"/>
      <w:ind w:right="360"/>
      <w:jc w:val="right"/>
      <w:rPr>
        <w:color w:val="C24227"/>
        <w:sz w:val="21"/>
        <w:szCs w:val="21"/>
      </w:rPr>
    </w:pPr>
    <w:r w:rsidRPr="0033476B">
      <w:rPr>
        <w:color w:val="C24227"/>
        <w:sz w:val="20"/>
        <w:szCs w:val="20"/>
      </w:rPr>
      <w:t xml:space="preserve">Job Description </w:t>
    </w:r>
    <w:r w:rsidR="001B54FD" w:rsidRPr="0033476B">
      <w:rPr>
        <w:color w:val="C24227"/>
        <w:sz w:val="20"/>
        <w:szCs w:val="20"/>
      </w:rPr>
      <w:t>Form</w:t>
    </w:r>
    <w:r w:rsidR="001B54FD">
      <w:rPr>
        <w:color w:val="C24227"/>
        <w:sz w:val="21"/>
        <w:szCs w:val="21"/>
      </w:rPr>
      <w:t xml:space="preserve"> 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C24227"/>
        <w:sz w:val="22"/>
        <w:szCs w:val="22"/>
      </w:rPr>
      <w:id w:val="2073308761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7E362E97" w14:textId="0DFDA1A7" w:rsidR="0033476B" w:rsidRPr="0033476B" w:rsidRDefault="0033476B" w:rsidP="00207AA4">
        <w:pPr>
          <w:pStyle w:val="Footer"/>
          <w:framePr w:wrap="none" w:vAnchor="text" w:hAnchor="margin" w:xAlign="right" w:y="1"/>
          <w:rPr>
            <w:rStyle w:val="PageNumber"/>
            <w:color w:val="C24227"/>
            <w:sz w:val="20"/>
            <w:szCs w:val="20"/>
          </w:rPr>
        </w:pPr>
        <w:r w:rsidRPr="0033476B">
          <w:rPr>
            <w:rStyle w:val="PageNumber"/>
            <w:color w:val="C24227"/>
            <w:sz w:val="20"/>
            <w:szCs w:val="20"/>
          </w:rPr>
          <w:fldChar w:fldCharType="begin"/>
        </w:r>
        <w:r w:rsidRPr="0033476B">
          <w:rPr>
            <w:rStyle w:val="PageNumber"/>
            <w:color w:val="C24227"/>
            <w:sz w:val="20"/>
            <w:szCs w:val="20"/>
          </w:rPr>
          <w:instrText xml:space="preserve"> PAGE </w:instrText>
        </w:r>
        <w:r w:rsidRPr="0033476B">
          <w:rPr>
            <w:rStyle w:val="PageNumber"/>
            <w:color w:val="C24227"/>
            <w:sz w:val="20"/>
            <w:szCs w:val="20"/>
          </w:rPr>
          <w:fldChar w:fldCharType="separate"/>
        </w:r>
        <w:r w:rsidRPr="0033476B">
          <w:rPr>
            <w:rStyle w:val="PageNumber"/>
            <w:noProof/>
            <w:color w:val="C24227"/>
            <w:sz w:val="20"/>
            <w:szCs w:val="20"/>
          </w:rPr>
          <w:t>1</w:t>
        </w:r>
        <w:r w:rsidRPr="0033476B">
          <w:rPr>
            <w:rStyle w:val="PageNumber"/>
            <w:color w:val="C24227"/>
            <w:sz w:val="20"/>
            <w:szCs w:val="20"/>
          </w:rPr>
          <w:fldChar w:fldCharType="end"/>
        </w:r>
      </w:p>
    </w:sdtContent>
  </w:sdt>
  <w:p w14:paraId="03B66A20" w14:textId="04D8CEBD" w:rsidR="0033476B" w:rsidRPr="0033476B" w:rsidRDefault="0033476B" w:rsidP="0033476B">
    <w:pPr>
      <w:pStyle w:val="Footer"/>
      <w:ind w:right="284"/>
      <w:jc w:val="right"/>
      <w:rPr>
        <w:color w:val="C24227"/>
        <w:sz w:val="21"/>
        <w:szCs w:val="21"/>
      </w:rPr>
    </w:pPr>
    <w:r w:rsidRPr="0033476B">
      <w:rPr>
        <w:color w:val="C24227"/>
        <w:sz w:val="20"/>
        <w:szCs w:val="20"/>
      </w:rPr>
      <w:t xml:space="preserve">Job Description </w:t>
    </w:r>
    <w:r w:rsidR="001B54FD" w:rsidRPr="0033476B">
      <w:rPr>
        <w:color w:val="C24227"/>
        <w:sz w:val="20"/>
        <w:szCs w:val="20"/>
      </w:rPr>
      <w:t>Form</w:t>
    </w:r>
    <w:r w:rsidR="001B54FD">
      <w:rPr>
        <w:color w:val="C24227"/>
        <w:sz w:val="21"/>
        <w:szCs w:val="21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BD19" w14:textId="77777777" w:rsidR="00CD6D64" w:rsidRDefault="00CD6D64" w:rsidP="00756536">
      <w:pPr>
        <w:spacing w:after="0" w:line="240" w:lineRule="auto"/>
      </w:pPr>
      <w:r>
        <w:separator/>
      </w:r>
    </w:p>
  </w:footnote>
  <w:footnote w:type="continuationSeparator" w:id="0">
    <w:p w14:paraId="4546CA56" w14:textId="77777777" w:rsidR="00CD6D64" w:rsidRDefault="00CD6D64" w:rsidP="0075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DCB9" w14:textId="6D563911" w:rsidR="00756536" w:rsidRDefault="007565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D31028" wp14:editId="51A2CA44">
          <wp:simplePos x="0" y="0"/>
          <wp:positionH relativeFrom="page">
            <wp:posOffset>3383967</wp:posOffset>
          </wp:positionH>
          <wp:positionV relativeFrom="paragraph">
            <wp:posOffset>-450215</wp:posOffset>
          </wp:positionV>
          <wp:extent cx="4192990" cy="873303"/>
          <wp:effectExtent l="0" t="0" r="0" b="3175"/>
          <wp:wrapNone/>
          <wp:docPr id="2839322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6929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137" cy="878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AA66" w14:textId="695D9430" w:rsidR="00756536" w:rsidRPr="00756536" w:rsidRDefault="00C26E45" w:rsidP="0075653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60AE528" wp14:editId="51C3B668">
          <wp:simplePos x="0" y="0"/>
          <wp:positionH relativeFrom="column">
            <wp:posOffset>-741045</wp:posOffset>
          </wp:positionH>
          <wp:positionV relativeFrom="paragraph">
            <wp:posOffset>-457314</wp:posOffset>
          </wp:positionV>
          <wp:extent cx="7639685" cy="1900555"/>
          <wp:effectExtent l="0" t="0" r="5715" b="0"/>
          <wp:wrapThrough wrapText="bothSides">
            <wp:wrapPolygon edited="0">
              <wp:start x="14578" y="0"/>
              <wp:lineTo x="14291" y="2309"/>
              <wp:lineTo x="3950" y="3753"/>
              <wp:lineTo x="2514" y="4041"/>
              <wp:lineTo x="2406" y="6928"/>
              <wp:lineTo x="2226" y="8372"/>
              <wp:lineTo x="2334" y="9238"/>
              <wp:lineTo x="2190" y="9671"/>
              <wp:lineTo x="2334" y="10248"/>
              <wp:lineTo x="15440" y="11547"/>
              <wp:lineTo x="2119" y="13856"/>
              <wp:lineTo x="2154" y="16166"/>
              <wp:lineTo x="5602" y="16166"/>
              <wp:lineTo x="3950" y="17609"/>
              <wp:lineTo x="3734" y="17898"/>
              <wp:lineTo x="3734" y="18475"/>
              <wp:lineTo x="0" y="18475"/>
              <wp:lineTo x="0" y="20640"/>
              <wp:lineTo x="1185" y="20929"/>
              <wp:lineTo x="18025" y="21362"/>
              <wp:lineTo x="20359" y="21362"/>
              <wp:lineTo x="20431" y="21073"/>
              <wp:lineTo x="21580" y="20351"/>
              <wp:lineTo x="21580" y="0"/>
              <wp:lineTo x="14578" y="0"/>
            </wp:wrapPolygon>
          </wp:wrapThrough>
          <wp:docPr id="40092370" name="Picture 1" descr="A line of white dots with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143251" name="Picture 1" descr="A line of white dots with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685" cy="190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18FD"/>
    <w:multiLevelType w:val="hybridMultilevel"/>
    <w:tmpl w:val="152A30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304FD"/>
    <w:multiLevelType w:val="multilevel"/>
    <w:tmpl w:val="F2346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FB06DE"/>
    <w:multiLevelType w:val="hybridMultilevel"/>
    <w:tmpl w:val="6BB0D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6BA4"/>
    <w:multiLevelType w:val="hybridMultilevel"/>
    <w:tmpl w:val="A2008B64"/>
    <w:lvl w:ilvl="0" w:tplc="D30C1B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33127"/>
    <w:multiLevelType w:val="hybridMultilevel"/>
    <w:tmpl w:val="E08053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D676C"/>
    <w:multiLevelType w:val="hybridMultilevel"/>
    <w:tmpl w:val="CAD4D270"/>
    <w:lvl w:ilvl="0" w:tplc="D30C1B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1244"/>
    <w:multiLevelType w:val="hybridMultilevel"/>
    <w:tmpl w:val="52AE7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71C61"/>
    <w:multiLevelType w:val="hybridMultilevel"/>
    <w:tmpl w:val="2C4CABCC"/>
    <w:lvl w:ilvl="0" w:tplc="0C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4E20D1"/>
    <w:multiLevelType w:val="hybridMultilevel"/>
    <w:tmpl w:val="D624B042"/>
    <w:lvl w:ilvl="0" w:tplc="A1C46D56">
      <w:start w:val="4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53A2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586DB0"/>
    <w:multiLevelType w:val="hybridMultilevel"/>
    <w:tmpl w:val="2D242FC4"/>
    <w:lvl w:ilvl="0" w:tplc="D30C1B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D51EC8"/>
    <w:multiLevelType w:val="hybridMultilevel"/>
    <w:tmpl w:val="BCAA3E22"/>
    <w:lvl w:ilvl="0" w:tplc="E3EC7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81C4F"/>
    <w:multiLevelType w:val="hybridMultilevel"/>
    <w:tmpl w:val="6C509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74AEC"/>
    <w:multiLevelType w:val="hybridMultilevel"/>
    <w:tmpl w:val="2A821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E1A53"/>
    <w:multiLevelType w:val="hybridMultilevel"/>
    <w:tmpl w:val="44D0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22E9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BD392A"/>
    <w:multiLevelType w:val="hybridMultilevel"/>
    <w:tmpl w:val="0568A396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65B2C"/>
    <w:multiLevelType w:val="hybridMultilevel"/>
    <w:tmpl w:val="C6B8FDA2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EF1003"/>
    <w:multiLevelType w:val="multilevel"/>
    <w:tmpl w:val="D13433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D75DAB"/>
    <w:multiLevelType w:val="hybridMultilevel"/>
    <w:tmpl w:val="677694C0"/>
    <w:lvl w:ilvl="0" w:tplc="9A5A07A0">
      <w:start w:val="1"/>
      <w:numFmt w:val="decimal"/>
      <w:lvlText w:val="%1."/>
      <w:lvlJc w:val="left"/>
      <w:pPr>
        <w:ind w:left="1447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7" w:hanging="360"/>
      </w:pPr>
    </w:lvl>
    <w:lvl w:ilvl="2" w:tplc="0809001B" w:tentative="1">
      <w:start w:val="1"/>
      <w:numFmt w:val="lowerRoman"/>
      <w:lvlText w:val="%3."/>
      <w:lvlJc w:val="right"/>
      <w:pPr>
        <w:ind w:left="2707" w:hanging="180"/>
      </w:pPr>
    </w:lvl>
    <w:lvl w:ilvl="3" w:tplc="0809000F" w:tentative="1">
      <w:start w:val="1"/>
      <w:numFmt w:val="decimal"/>
      <w:lvlText w:val="%4."/>
      <w:lvlJc w:val="left"/>
      <w:pPr>
        <w:ind w:left="3427" w:hanging="360"/>
      </w:pPr>
    </w:lvl>
    <w:lvl w:ilvl="4" w:tplc="08090019" w:tentative="1">
      <w:start w:val="1"/>
      <w:numFmt w:val="lowerLetter"/>
      <w:lvlText w:val="%5."/>
      <w:lvlJc w:val="left"/>
      <w:pPr>
        <w:ind w:left="4147" w:hanging="360"/>
      </w:pPr>
    </w:lvl>
    <w:lvl w:ilvl="5" w:tplc="0809001B" w:tentative="1">
      <w:start w:val="1"/>
      <w:numFmt w:val="lowerRoman"/>
      <w:lvlText w:val="%6."/>
      <w:lvlJc w:val="right"/>
      <w:pPr>
        <w:ind w:left="4867" w:hanging="180"/>
      </w:pPr>
    </w:lvl>
    <w:lvl w:ilvl="6" w:tplc="0809000F" w:tentative="1">
      <w:start w:val="1"/>
      <w:numFmt w:val="decimal"/>
      <w:lvlText w:val="%7."/>
      <w:lvlJc w:val="left"/>
      <w:pPr>
        <w:ind w:left="5587" w:hanging="360"/>
      </w:pPr>
    </w:lvl>
    <w:lvl w:ilvl="7" w:tplc="08090019" w:tentative="1">
      <w:start w:val="1"/>
      <w:numFmt w:val="lowerLetter"/>
      <w:lvlText w:val="%8."/>
      <w:lvlJc w:val="left"/>
      <w:pPr>
        <w:ind w:left="6307" w:hanging="360"/>
      </w:pPr>
    </w:lvl>
    <w:lvl w:ilvl="8" w:tplc="08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BE60CAC"/>
    <w:multiLevelType w:val="hybridMultilevel"/>
    <w:tmpl w:val="83249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5469">
    <w:abstractNumId w:val="6"/>
  </w:num>
  <w:num w:numId="2" w16cid:durableId="1376272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348590">
    <w:abstractNumId w:val="4"/>
  </w:num>
  <w:num w:numId="4" w16cid:durableId="1326056679">
    <w:abstractNumId w:val="14"/>
  </w:num>
  <w:num w:numId="5" w16cid:durableId="165638337">
    <w:abstractNumId w:val="11"/>
  </w:num>
  <w:num w:numId="6" w16cid:durableId="1123695853">
    <w:abstractNumId w:val="10"/>
  </w:num>
  <w:num w:numId="7" w16cid:durableId="1581137968">
    <w:abstractNumId w:val="3"/>
  </w:num>
  <w:num w:numId="8" w16cid:durableId="210381380">
    <w:abstractNumId w:val="5"/>
  </w:num>
  <w:num w:numId="9" w16cid:durableId="1667249357">
    <w:abstractNumId w:val="19"/>
  </w:num>
  <w:num w:numId="10" w16cid:durableId="1636334645">
    <w:abstractNumId w:val="13"/>
  </w:num>
  <w:num w:numId="11" w16cid:durableId="1816409002">
    <w:abstractNumId w:val="8"/>
  </w:num>
  <w:num w:numId="12" w16cid:durableId="1771470451">
    <w:abstractNumId w:val="9"/>
  </w:num>
  <w:num w:numId="13" w16cid:durableId="2042582278">
    <w:abstractNumId w:val="18"/>
  </w:num>
  <w:num w:numId="14" w16cid:durableId="301085470">
    <w:abstractNumId w:val="15"/>
  </w:num>
  <w:num w:numId="15" w16cid:durableId="24185399">
    <w:abstractNumId w:val="1"/>
  </w:num>
  <w:num w:numId="16" w16cid:durableId="169490687">
    <w:abstractNumId w:val="12"/>
  </w:num>
  <w:num w:numId="17" w16cid:durableId="629700953">
    <w:abstractNumId w:val="0"/>
  </w:num>
  <w:num w:numId="18" w16cid:durableId="1341004227">
    <w:abstractNumId w:val="16"/>
  </w:num>
  <w:num w:numId="19" w16cid:durableId="965308136">
    <w:abstractNumId w:val="2"/>
  </w:num>
  <w:num w:numId="20" w16cid:durableId="1987128938">
    <w:abstractNumId w:val="17"/>
  </w:num>
  <w:num w:numId="21" w16cid:durableId="2041120948">
    <w:abstractNumId w:val="7"/>
  </w:num>
  <w:num w:numId="22" w16cid:durableId="6303994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9A"/>
    <w:rsid w:val="00021A3D"/>
    <w:rsid w:val="00025438"/>
    <w:rsid w:val="00044FF3"/>
    <w:rsid w:val="00051CBF"/>
    <w:rsid w:val="0006478A"/>
    <w:rsid w:val="00070651"/>
    <w:rsid w:val="00083B4F"/>
    <w:rsid w:val="000A6FA1"/>
    <w:rsid w:val="000D0AF3"/>
    <w:rsid w:val="000D0F48"/>
    <w:rsid w:val="001028F7"/>
    <w:rsid w:val="00132369"/>
    <w:rsid w:val="001341B6"/>
    <w:rsid w:val="00144F9C"/>
    <w:rsid w:val="00145E44"/>
    <w:rsid w:val="00155C99"/>
    <w:rsid w:val="001633FD"/>
    <w:rsid w:val="001744F5"/>
    <w:rsid w:val="00176A80"/>
    <w:rsid w:val="001A3D0C"/>
    <w:rsid w:val="001A4A74"/>
    <w:rsid w:val="001A50FB"/>
    <w:rsid w:val="001B27CF"/>
    <w:rsid w:val="001B52F9"/>
    <w:rsid w:val="001B54FD"/>
    <w:rsid w:val="001B7A87"/>
    <w:rsid w:val="001B7CD1"/>
    <w:rsid w:val="001D197E"/>
    <w:rsid w:val="001E3008"/>
    <w:rsid w:val="00204930"/>
    <w:rsid w:val="002156DB"/>
    <w:rsid w:val="00231DE7"/>
    <w:rsid w:val="002342EF"/>
    <w:rsid w:val="00246EF2"/>
    <w:rsid w:val="0024718E"/>
    <w:rsid w:val="00260B8D"/>
    <w:rsid w:val="002656BC"/>
    <w:rsid w:val="00272434"/>
    <w:rsid w:val="00280169"/>
    <w:rsid w:val="00280C06"/>
    <w:rsid w:val="00283EB7"/>
    <w:rsid w:val="002843C7"/>
    <w:rsid w:val="002874CE"/>
    <w:rsid w:val="002937C1"/>
    <w:rsid w:val="002956EB"/>
    <w:rsid w:val="00296FEC"/>
    <w:rsid w:val="002B657B"/>
    <w:rsid w:val="002D3E24"/>
    <w:rsid w:val="002F107E"/>
    <w:rsid w:val="002F64E9"/>
    <w:rsid w:val="00300C8A"/>
    <w:rsid w:val="0030375D"/>
    <w:rsid w:val="0033476B"/>
    <w:rsid w:val="00347318"/>
    <w:rsid w:val="003522C2"/>
    <w:rsid w:val="0036514A"/>
    <w:rsid w:val="00394896"/>
    <w:rsid w:val="003958FD"/>
    <w:rsid w:val="003A0365"/>
    <w:rsid w:val="003A12FE"/>
    <w:rsid w:val="003A3903"/>
    <w:rsid w:val="003A787A"/>
    <w:rsid w:val="003C1C26"/>
    <w:rsid w:val="003C47A8"/>
    <w:rsid w:val="003C4825"/>
    <w:rsid w:val="003D0A66"/>
    <w:rsid w:val="00414112"/>
    <w:rsid w:val="00422282"/>
    <w:rsid w:val="00430199"/>
    <w:rsid w:val="00430D2F"/>
    <w:rsid w:val="00451463"/>
    <w:rsid w:val="00462800"/>
    <w:rsid w:val="004658EA"/>
    <w:rsid w:val="00471F7F"/>
    <w:rsid w:val="00477E21"/>
    <w:rsid w:val="00494398"/>
    <w:rsid w:val="00497F38"/>
    <w:rsid w:val="004A3655"/>
    <w:rsid w:val="004A4EC3"/>
    <w:rsid w:val="004B2309"/>
    <w:rsid w:val="004C7E95"/>
    <w:rsid w:val="004E000D"/>
    <w:rsid w:val="004E1073"/>
    <w:rsid w:val="004E2FC6"/>
    <w:rsid w:val="004F457E"/>
    <w:rsid w:val="005257D4"/>
    <w:rsid w:val="00536F4B"/>
    <w:rsid w:val="0057229A"/>
    <w:rsid w:val="005811D2"/>
    <w:rsid w:val="005A2699"/>
    <w:rsid w:val="005A2701"/>
    <w:rsid w:val="005E2416"/>
    <w:rsid w:val="005F483B"/>
    <w:rsid w:val="005F5F54"/>
    <w:rsid w:val="00601500"/>
    <w:rsid w:val="00631D31"/>
    <w:rsid w:val="00647E4B"/>
    <w:rsid w:val="00650391"/>
    <w:rsid w:val="00663B85"/>
    <w:rsid w:val="006710D7"/>
    <w:rsid w:val="00676A0D"/>
    <w:rsid w:val="0068201A"/>
    <w:rsid w:val="00686F75"/>
    <w:rsid w:val="006963C4"/>
    <w:rsid w:val="006A1E28"/>
    <w:rsid w:val="006C1C4D"/>
    <w:rsid w:val="006C2F8C"/>
    <w:rsid w:val="006C3FBC"/>
    <w:rsid w:val="006D03B1"/>
    <w:rsid w:val="006F17A8"/>
    <w:rsid w:val="006F6B55"/>
    <w:rsid w:val="00700609"/>
    <w:rsid w:val="00721C5E"/>
    <w:rsid w:val="00727985"/>
    <w:rsid w:val="00733555"/>
    <w:rsid w:val="007421AD"/>
    <w:rsid w:val="00746389"/>
    <w:rsid w:val="00756536"/>
    <w:rsid w:val="0076560C"/>
    <w:rsid w:val="007734E6"/>
    <w:rsid w:val="0078067E"/>
    <w:rsid w:val="007A0EFF"/>
    <w:rsid w:val="007A1F18"/>
    <w:rsid w:val="007B2076"/>
    <w:rsid w:val="007D5860"/>
    <w:rsid w:val="007E7FB0"/>
    <w:rsid w:val="008000AD"/>
    <w:rsid w:val="00814628"/>
    <w:rsid w:val="0084252E"/>
    <w:rsid w:val="008531F0"/>
    <w:rsid w:val="00864D30"/>
    <w:rsid w:val="00883DED"/>
    <w:rsid w:val="00892424"/>
    <w:rsid w:val="00893679"/>
    <w:rsid w:val="008947AE"/>
    <w:rsid w:val="008A2587"/>
    <w:rsid w:val="008A3F8E"/>
    <w:rsid w:val="008E0484"/>
    <w:rsid w:val="008E36D7"/>
    <w:rsid w:val="008E7755"/>
    <w:rsid w:val="009075E2"/>
    <w:rsid w:val="00926AA9"/>
    <w:rsid w:val="00932EF4"/>
    <w:rsid w:val="009514B1"/>
    <w:rsid w:val="0095755A"/>
    <w:rsid w:val="00961CC9"/>
    <w:rsid w:val="00971722"/>
    <w:rsid w:val="00993CBB"/>
    <w:rsid w:val="009C0ED6"/>
    <w:rsid w:val="00A00DF9"/>
    <w:rsid w:val="00A03353"/>
    <w:rsid w:val="00A2480E"/>
    <w:rsid w:val="00A254A1"/>
    <w:rsid w:val="00A274B9"/>
    <w:rsid w:val="00A40911"/>
    <w:rsid w:val="00A518E1"/>
    <w:rsid w:val="00A72186"/>
    <w:rsid w:val="00A86D4C"/>
    <w:rsid w:val="00A93FF1"/>
    <w:rsid w:val="00A972A4"/>
    <w:rsid w:val="00AA416A"/>
    <w:rsid w:val="00AA4641"/>
    <w:rsid w:val="00AA66CC"/>
    <w:rsid w:val="00AC584F"/>
    <w:rsid w:val="00AC73F2"/>
    <w:rsid w:val="00AD787C"/>
    <w:rsid w:val="00AE1B75"/>
    <w:rsid w:val="00AE5EBA"/>
    <w:rsid w:val="00B1554C"/>
    <w:rsid w:val="00B31672"/>
    <w:rsid w:val="00B646FB"/>
    <w:rsid w:val="00B8027B"/>
    <w:rsid w:val="00B96037"/>
    <w:rsid w:val="00BB2C4B"/>
    <w:rsid w:val="00BB541C"/>
    <w:rsid w:val="00BC5C3F"/>
    <w:rsid w:val="00BD1B8C"/>
    <w:rsid w:val="00BE2BC3"/>
    <w:rsid w:val="00BE6555"/>
    <w:rsid w:val="00C12F9A"/>
    <w:rsid w:val="00C14680"/>
    <w:rsid w:val="00C15B56"/>
    <w:rsid w:val="00C201F1"/>
    <w:rsid w:val="00C26E45"/>
    <w:rsid w:val="00C45F38"/>
    <w:rsid w:val="00C47631"/>
    <w:rsid w:val="00C54A97"/>
    <w:rsid w:val="00C639AF"/>
    <w:rsid w:val="00C86886"/>
    <w:rsid w:val="00CD00BF"/>
    <w:rsid w:val="00CD0B02"/>
    <w:rsid w:val="00CD6D64"/>
    <w:rsid w:val="00CE30E6"/>
    <w:rsid w:val="00CE71C3"/>
    <w:rsid w:val="00CF070B"/>
    <w:rsid w:val="00D007E3"/>
    <w:rsid w:val="00D173A8"/>
    <w:rsid w:val="00D2368C"/>
    <w:rsid w:val="00D718AA"/>
    <w:rsid w:val="00D71E76"/>
    <w:rsid w:val="00D732A5"/>
    <w:rsid w:val="00D7570D"/>
    <w:rsid w:val="00D801DC"/>
    <w:rsid w:val="00D829E5"/>
    <w:rsid w:val="00D84552"/>
    <w:rsid w:val="00DB08AF"/>
    <w:rsid w:val="00DF1A44"/>
    <w:rsid w:val="00DF4B7C"/>
    <w:rsid w:val="00DF7BA5"/>
    <w:rsid w:val="00E02BA3"/>
    <w:rsid w:val="00E14F0F"/>
    <w:rsid w:val="00E20BE0"/>
    <w:rsid w:val="00E23326"/>
    <w:rsid w:val="00E42672"/>
    <w:rsid w:val="00E4641B"/>
    <w:rsid w:val="00E61CE6"/>
    <w:rsid w:val="00E81097"/>
    <w:rsid w:val="00EA11AC"/>
    <w:rsid w:val="00EB1E28"/>
    <w:rsid w:val="00EB643F"/>
    <w:rsid w:val="00EC7340"/>
    <w:rsid w:val="00ED18BE"/>
    <w:rsid w:val="00ED68B9"/>
    <w:rsid w:val="00ED7D74"/>
    <w:rsid w:val="00EE13A1"/>
    <w:rsid w:val="00EF2F5D"/>
    <w:rsid w:val="00F02587"/>
    <w:rsid w:val="00F156D2"/>
    <w:rsid w:val="00F167A5"/>
    <w:rsid w:val="00F51C71"/>
    <w:rsid w:val="00F5392B"/>
    <w:rsid w:val="00F95B4C"/>
    <w:rsid w:val="00FA1359"/>
    <w:rsid w:val="00FA7287"/>
    <w:rsid w:val="00FB2D81"/>
    <w:rsid w:val="00FD7C45"/>
    <w:rsid w:val="00FE0D47"/>
    <w:rsid w:val="00FE5411"/>
    <w:rsid w:val="00FF3F69"/>
    <w:rsid w:val="00FF59CB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3EB4C"/>
  <w15:chartTrackingRefBased/>
  <w15:docId w15:val="{E41A61B4-C81E-8D47-A1B7-6C76C9CE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P"/>
    <w:qFormat/>
    <w:rsid w:val="00FB2D81"/>
    <w:pPr>
      <w:spacing w:after="160" w:line="259" w:lineRule="auto"/>
    </w:pPr>
    <w:rPr>
      <w:rFonts w:ascii="Arial" w:hAnsi="Arial" w:cs="Arial"/>
    </w:rPr>
  </w:style>
  <w:style w:type="paragraph" w:styleId="Heading1">
    <w:name w:val="heading 1"/>
    <w:aliases w:val="DPC H1"/>
    <w:basedOn w:val="Normal"/>
    <w:next w:val="Normal"/>
    <w:link w:val="Heading1Char"/>
    <w:uiPriority w:val="9"/>
    <w:qFormat/>
    <w:rsid w:val="00FB2D81"/>
    <w:pPr>
      <w:keepNext/>
      <w:keepLines/>
      <w:spacing w:before="360" w:after="120"/>
      <w:outlineLvl w:val="0"/>
    </w:pPr>
    <w:rPr>
      <w:rFonts w:eastAsiaTheme="majorEastAsia" w:cs="Times New Roman (Headings CS)"/>
      <w:b/>
      <w:color w:val="CC5733"/>
      <w:sz w:val="40"/>
      <w:szCs w:val="32"/>
    </w:rPr>
  </w:style>
  <w:style w:type="paragraph" w:styleId="Heading2">
    <w:name w:val="heading 2"/>
    <w:aliases w:val="DPC H2"/>
    <w:basedOn w:val="Normal"/>
    <w:next w:val="Normal"/>
    <w:link w:val="Heading2Char"/>
    <w:uiPriority w:val="9"/>
    <w:unhideWhenUsed/>
    <w:qFormat/>
    <w:rsid w:val="00FB2D81"/>
    <w:pPr>
      <w:keepNext/>
      <w:keepLines/>
      <w:spacing w:before="360" w:after="120"/>
      <w:outlineLvl w:val="1"/>
    </w:pPr>
    <w:rPr>
      <w:rFonts w:eastAsiaTheme="majorEastAsia" w:cs="Times New Roman (Headings CS)"/>
      <w:b/>
      <w:color w:val="CC5733"/>
      <w:sz w:val="32"/>
      <w:szCs w:val="26"/>
    </w:rPr>
  </w:style>
  <w:style w:type="paragraph" w:styleId="Heading3">
    <w:name w:val="heading 3"/>
    <w:aliases w:val="DPC H3"/>
    <w:basedOn w:val="Normal"/>
    <w:next w:val="Normal"/>
    <w:link w:val="Heading3Char"/>
    <w:uiPriority w:val="9"/>
    <w:unhideWhenUsed/>
    <w:qFormat/>
    <w:rsid w:val="00C45F38"/>
    <w:pPr>
      <w:keepNext/>
      <w:keepLines/>
      <w:spacing w:before="240" w:after="120"/>
      <w:outlineLvl w:val="2"/>
    </w:pPr>
    <w:rPr>
      <w:rFonts w:eastAsiaTheme="majorEastAsia" w:cs="Times New Roman (Headings CS)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45F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2F9A"/>
    <w:pPr>
      <w:autoSpaceDE w:val="0"/>
      <w:autoSpaceDN w:val="0"/>
      <w:adjustRightInd w:val="0"/>
    </w:pPr>
    <w:rPr>
      <w:rFonts w:ascii="Neue Haas Grotesk Text Pro" w:hAnsi="Neue Haas Grotesk Text Pro" w:cs="Neue Haas Grotesk Text Pro"/>
      <w:color w:val="000000"/>
      <w:lang w:val="en-GB"/>
    </w:rPr>
  </w:style>
  <w:style w:type="table" w:styleId="PlainTable3">
    <w:name w:val="Plain Table 3"/>
    <w:basedOn w:val="TableNormal"/>
    <w:uiPriority w:val="43"/>
    <w:rsid w:val="00C12F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12F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C1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36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756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36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styleId="ListParagraph">
    <w:name w:val="List Paragraph"/>
    <w:aliases w:val="DPC List Paragraph P"/>
    <w:basedOn w:val="Normal"/>
    <w:link w:val="ListParagraphChar"/>
    <w:uiPriority w:val="34"/>
    <w:qFormat/>
    <w:rsid w:val="00C45F38"/>
    <w:pPr>
      <w:spacing w:after="120" w:line="240" w:lineRule="auto"/>
      <w:ind w:left="907"/>
    </w:pPr>
    <w:rPr>
      <w:rFonts w:cs="Calibri"/>
      <w:color w:val="000000" w:themeColor="text1"/>
      <w:szCs w:val="22"/>
      <w14:ligatures w14:val="standardContextual"/>
    </w:rPr>
  </w:style>
  <w:style w:type="character" w:styleId="Hyperlink">
    <w:name w:val="Hyperlink"/>
    <w:uiPriority w:val="99"/>
    <w:unhideWhenUsed/>
    <w:rsid w:val="00AC73F2"/>
    <w:rPr>
      <w:rFonts w:ascii="Arial" w:hAnsi="Arial"/>
      <w:b w:val="0"/>
      <w:i w:val="0"/>
      <w:color w:val="6AA489"/>
      <w:sz w:val="24"/>
      <w:u w:val="single"/>
    </w:rPr>
  </w:style>
  <w:style w:type="character" w:customStyle="1" w:styleId="Heading2Char">
    <w:name w:val="Heading 2 Char"/>
    <w:aliases w:val="DPC H2 Char"/>
    <w:basedOn w:val="DefaultParagraphFont"/>
    <w:link w:val="Heading2"/>
    <w:uiPriority w:val="9"/>
    <w:rsid w:val="00FB2D81"/>
    <w:rPr>
      <w:rFonts w:ascii="Arial" w:eastAsiaTheme="majorEastAsia" w:hAnsi="Arial" w:cs="Times New Roman (Headings CS)"/>
      <w:b/>
      <w:i w:val="0"/>
      <w:caps w:val="0"/>
      <w:smallCaps w:val="0"/>
      <w:strike w:val="0"/>
      <w:dstrike w:val="0"/>
      <w:vanish w:val="0"/>
      <w:color w:val="CC5733"/>
      <w:sz w:val="32"/>
      <w:szCs w:val="26"/>
      <w:vertAlign w:val="baseline"/>
    </w:rPr>
  </w:style>
  <w:style w:type="character" w:customStyle="1" w:styleId="Heading3Char">
    <w:name w:val="Heading 3 Char"/>
    <w:aliases w:val="DPC H3 Char"/>
    <w:basedOn w:val="DefaultParagraphFont"/>
    <w:link w:val="Heading3"/>
    <w:uiPriority w:val="9"/>
    <w:rsid w:val="00C45F38"/>
    <w:rPr>
      <w:rFonts w:ascii="Arial" w:eastAsiaTheme="majorEastAsia" w:hAnsi="Arial" w:cs="Times New Roman (Headings CS)"/>
      <w:b/>
      <w:i w:val="0"/>
      <w:caps w:val="0"/>
      <w:smallCaps w:val="0"/>
      <w:strike w:val="0"/>
      <w:dstrike w:val="0"/>
      <w:vanish w:val="0"/>
      <w:color w:val="000000" w:themeColor="text1"/>
      <w:sz w:val="28"/>
      <w:vertAlign w:val="baseline"/>
    </w:rPr>
  </w:style>
  <w:style w:type="character" w:customStyle="1" w:styleId="Heading1Char">
    <w:name w:val="Heading 1 Char"/>
    <w:aliases w:val="DPC H1 Char"/>
    <w:basedOn w:val="DefaultParagraphFont"/>
    <w:link w:val="Heading1"/>
    <w:uiPriority w:val="9"/>
    <w:rsid w:val="00FB2D81"/>
    <w:rPr>
      <w:rFonts w:ascii="Arial" w:eastAsiaTheme="majorEastAsia" w:hAnsi="Arial" w:cs="Times New Roman (Headings CS)"/>
      <w:b/>
      <w:i w:val="0"/>
      <w:caps w:val="0"/>
      <w:smallCaps w:val="0"/>
      <w:strike w:val="0"/>
      <w:dstrike w:val="0"/>
      <w:vanish w:val="0"/>
      <w:color w:val="CC5733"/>
      <w:sz w:val="40"/>
      <w:szCs w:val="32"/>
      <w:vertAlign w:val="baseline"/>
    </w:rPr>
  </w:style>
  <w:style w:type="paragraph" w:styleId="NoSpacing">
    <w:name w:val="No Spacing"/>
    <w:uiPriority w:val="1"/>
    <w:rsid w:val="00FB2D81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C45F38"/>
    <w:rPr>
      <w:rFonts w:asciiTheme="majorHAnsi" w:eastAsiaTheme="majorEastAsia" w:hAnsiTheme="majorHAnsi" w:cstheme="majorBidi"/>
      <w:b w:val="0"/>
      <w:i/>
      <w:iCs/>
      <w:caps w:val="0"/>
      <w:smallCaps w:val="0"/>
      <w:strike w:val="0"/>
      <w:dstrike w:val="0"/>
      <w:vanish w:val="0"/>
      <w:color w:val="2F5496" w:themeColor="accent1" w:themeShade="BF"/>
      <w:sz w:val="24"/>
      <w:vertAlign w:val="baseline"/>
    </w:rPr>
  </w:style>
  <w:style w:type="character" w:styleId="IntenseEmphasis">
    <w:name w:val="Intense Emphasis"/>
    <w:basedOn w:val="DefaultParagraphFont"/>
    <w:uiPriority w:val="21"/>
    <w:rsid w:val="00C45F38"/>
    <w:rPr>
      <w:rFonts w:ascii="Arial" w:hAnsi="Arial"/>
      <w:b w:val="0"/>
      <w:i/>
      <w:iCs/>
      <w:caps w:val="0"/>
      <w:smallCaps w:val="0"/>
      <w:strike w:val="0"/>
      <w:dstrike w:val="0"/>
      <w:vanish w:val="0"/>
      <w:color w:val="4472C4" w:themeColor="accent1"/>
      <w:sz w:val="24"/>
      <w:vertAlign w:val="baseline"/>
    </w:rPr>
  </w:style>
  <w:style w:type="paragraph" w:customStyle="1" w:styleId="Formfields">
    <w:name w:val="Form fields"/>
    <w:basedOn w:val="Default"/>
    <w:qFormat/>
    <w:rsid w:val="00C45F38"/>
    <w:pPr>
      <w:framePr w:hSpace="180" w:wrap="around" w:vAnchor="text" w:hAnchor="text" w:y="1"/>
      <w:suppressOverlap/>
    </w:pPr>
    <w:rPr>
      <w:rFonts w:ascii="Arial" w:hAnsi="Arial"/>
      <w:color w:val="CC5733"/>
    </w:rPr>
  </w:style>
  <w:style w:type="character" w:styleId="SubtleEmphasis">
    <w:name w:val="Subtle Emphasis"/>
    <w:basedOn w:val="DefaultParagraphFont"/>
    <w:uiPriority w:val="19"/>
    <w:rsid w:val="00C45F38"/>
    <w:rPr>
      <w:rFonts w:ascii="Arial" w:hAnsi="Arial"/>
      <w:b w:val="0"/>
      <w:i/>
      <w:iCs/>
      <w:caps w:val="0"/>
      <w:smallCaps w:val="0"/>
      <w:strike w:val="0"/>
      <w:dstrike w:val="0"/>
      <w:vanish w:val="0"/>
      <w:color w:val="404040" w:themeColor="text1" w:themeTint="BF"/>
      <w:sz w:val="24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AC73F2"/>
    <w:rPr>
      <w:rFonts w:ascii="Arial" w:hAnsi="Arial"/>
      <w:b w:val="0"/>
      <w:i w:val="0"/>
      <w:caps w:val="0"/>
      <w:smallCaps w:val="0"/>
      <w:strike w:val="0"/>
      <w:dstrike w:val="0"/>
      <w:vanish w:val="0"/>
      <w:color w:val="954F72" w:themeColor="followedHyperlink"/>
      <w:sz w:val="24"/>
      <w:u w:val="single"/>
      <w:vertAlign w:val="baseline"/>
    </w:rPr>
  </w:style>
  <w:style w:type="paragraph" w:styleId="Revision">
    <w:name w:val="Revision"/>
    <w:hidden/>
    <w:uiPriority w:val="99"/>
    <w:semiHidden/>
    <w:rsid w:val="00A00DF9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A3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F8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F8E"/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3476B"/>
  </w:style>
  <w:style w:type="character" w:customStyle="1" w:styleId="ListParagraphChar">
    <w:name w:val="List Paragraph Char"/>
    <w:aliases w:val="DPC List Paragraph P Char"/>
    <w:basedOn w:val="DefaultParagraphFont"/>
    <w:link w:val="ListParagraph"/>
    <w:uiPriority w:val="34"/>
    <w:rsid w:val="00CE30E6"/>
    <w:rPr>
      <w:rFonts w:ascii="Arial" w:hAnsi="Arial" w:cs="Calibri"/>
      <w:color w:val="000000" w:themeColor="text1"/>
      <w:szCs w:val="22"/>
      <w14:ligatures w14:val="standardContextual"/>
    </w:rPr>
  </w:style>
  <w:style w:type="paragraph" w:customStyle="1" w:styleId="Paragraph">
    <w:name w:val="Paragraph"/>
    <w:basedOn w:val="Normal"/>
    <w:link w:val="ParagraphChar"/>
    <w:qFormat/>
    <w:rsid w:val="00CE30E6"/>
    <w:pPr>
      <w:spacing w:before="120" w:after="240" w:line="280" w:lineRule="atLeast"/>
    </w:pPr>
    <w:rPr>
      <w:bCs/>
      <w:sz w:val="22"/>
      <w:shd w:val="clear" w:color="auto" w:fill="FFFFFF"/>
    </w:rPr>
  </w:style>
  <w:style w:type="character" w:customStyle="1" w:styleId="ParagraphChar">
    <w:name w:val="Paragraph Char"/>
    <w:basedOn w:val="DefaultParagraphFont"/>
    <w:link w:val="Paragraph"/>
    <w:rsid w:val="00CE30E6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6267112CDC4FB0D8582F58FF7CE1" ma:contentTypeVersion="15" ma:contentTypeDescription="Create a new document." ma:contentTypeScope="" ma:versionID="f94d12dcad3854eb22abdf20dcc8580a">
  <xsd:schema xmlns:xsd="http://www.w3.org/2001/XMLSchema" xmlns:xs="http://www.w3.org/2001/XMLSchema" xmlns:p="http://schemas.microsoft.com/office/2006/metadata/properties" xmlns:ns2="c69012fe-9a92-4954-b0a7-853fae50b610" xmlns:ns3="a991264a-cd92-493e-8f32-b2890e390722" targetNamespace="http://schemas.microsoft.com/office/2006/metadata/properties" ma:root="true" ma:fieldsID="d35f0a9e787f4f6dea3268110f07c61b" ns2:_="" ns3:_="">
    <xsd:import namespace="c69012fe-9a92-4954-b0a7-853fae50b610"/>
    <xsd:import namespace="a991264a-cd92-493e-8f32-b2890e390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012fe-9a92-4954-b0a7-853fae50b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dd5136-d8d3-43bd-8536-49417bb06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264a-cd92-493e-8f32-b2890e3907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62d6b8-114e-468a-aa26-e736c33b1f80}" ma:internalName="TaxCatchAll" ma:showField="CatchAllData" ma:web="a991264a-cd92-493e-8f32-b2890e390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012fe-9a92-4954-b0a7-853fae50b610">
      <Terms xmlns="http://schemas.microsoft.com/office/infopath/2007/PartnerControls"/>
    </lcf76f155ced4ddcb4097134ff3c332f>
    <TaxCatchAll xmlns="a991264a-cd92-493e-8f32-b2890e390722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E5D02-A64A-4E93-938B-97251AB9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012fe-9a92-4954-b0a7-853fae50b610"/>
    <ds:schemaRef ds:uri="a991264a-cd92-493e-8f32-b2890e390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C8040-AEBC-41D8-A94A-ECB21A268A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486EFD-65BC-4DE6-A820-132570A6F814}">
  <ds:schemaRefs>
    <ds:schemaRef ds:uri="http://schemas.microsoft.com/office/2006/metadata/properties"/>
    <ds:schemaRef ds:uri="http://schemas.microsoft.com/office/infopath/2007/PartnerControls"/>
    <ds:schemaRef ds:uri="c69012fe-9a92-4954-b0a7-853fae50b610"/>
    <ds:schemaRef ds:uri="a991264a-cd92-493e-8f32-b2890e390722"/>
  </ds:schemaRefs>
</ds:datastoreItem>
</file>

<file path=customXml/itemProps4.xml><?xml version="1.0" encoding="utf-8"?>
<ds:datastoreItem xmlns:ds="http://schemas.openxmlformats.org/officeDocument/2006/customXml" ds:itemID="{61143AB2-22D9-42F2-9DFC-08445147F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Gwen</dc:creator>
  <cp:keywords/>
  <dc:description/>
  <cp:lastModifiedBy>Kacperek, Natalia</cp:lastModifiedBy>
  <cp:revision>3</cp:revision>
  <cp:lastPrinted>2024-03-14T05:17:00Z</cp:lastPrinted>
  <dcterms:created xsi:type="dcterms:W3CDTF">2025-06-26T02:59:00Z</dcterms:created>
  <dcterms:modified xsi:type="dcterms:W3CDTF">2025-06-26T03:00:00Z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6cf7cf-4bad-475a-a557-f71d08d59046_Enabled">
    <vt:lpwstr>true</vt:lpwstr>
  </property>
  <property fmtid="{D5CDD505-2E9C-101B-9397-08002B2CF9AE}" pid="3" name="MSIP_Label_116cf7cf-4bad-475a-a557-f71d08d59046_SetDate">
    <vt:lpwstr>2023-09-22T04:59:41Z</vt:lpwstr>
  </property>
  <property fmtid="{D5CDD505-2E9C-101B-9397-08002B2CF9AE}" pid="4" name="MSIP_Label_116cf7cf-4bad-475a-a557-f71d08d59046_Method">
    <vt:lpwstr>Standard</vt:lpwstr>
  </property>
  <property fmtid="{D5CDD505-2E9C-101B-9397-08002B2CF9AE}" pid="5" name="MSIP_Label_116cf7cf-4bad-475a-a557-f71d08d59046_Name">
    <vt:lpwstr>OFFICIAL [ Office ]</vt:lpwstr>
  </property>
  <property fmtid="{D5CDD505-2E9C-101B-9397-08002B2CF9AE}" pid="6" name="MSIP_Label_116cf7cf-4bad-475a-a557-f71d08d59046_SiteId">
    <vt:lpwstr>d48144b5-571f-4b68-9721-e41bc0071e17</vt:lpwstr>
  </property>
  <property fmtid="{D5CDD505-2E9C-101B-9397-08002B2CF9AE}" pid="7" name="MSIP_Label_116cf7cf-4bad-475a-a557-f71d08d59046_ActionId">
    <vt:lpwstr>5ff54825-c302-4ef8-abce-08e0e4c14617</vt:lpwstr>
  </property>
  <property fmtid="{D5CDD505-2E9C-101B-9397-08002B2CF9AE}" pid="8" name="MSIP_Label_116cf7cf-4bad-475a-a557-f71d08d59046_ContentBits">
    <vt:lpwstr>0</vt:lpwstr>
  </property>
  <property fmtid="{D5CDD505-2E9C-101B-9397-08002B2CF9AE}" pid="9" name="_NewReviewCycle">
    <vt:lpwstr/>
  </property>
  <property fmtid="{D5CDD505-2E9C-101B-9397-08002B2CF9AE}" pid="10" name="ContentTypeId">
    <vt:lpwstr>0x01010070D56267112CDC4FB0D8582F58FF7CE1</vt:lpwstr>
  </property>
  <property fmtid="{D5CDD505-2E9C-101B-9397-08002B2CF9AE}" pid="11" name="_AdHocReviewCycleID">
    <vt:i4>-1240413473</vt:i4>
  </property>
  <property fmtid="{D5CDD505-2E9C-101B-9397-08002B2CF9AE}" pid="12" name="_EmailSubject">
    <vt:lpwstr>Job Descriptions - Classification Confirmation </vt:lpwstr>
  </property>
  <property fmtid="{D5CDD505-2E9C-101B-9397-08002B2CF9AE}" pid="13" name="_AuthorEmail">
    <vt:lpwstr>Natalia.Kacperek@dpc.wa.gov.au</vt:lpwstr>
  </property>
  <property fmtid="{D5CDD505-2E9C-101B-9397-08002B2CF9AE}" pid="14" name="_AuthorEmailDisplayName">
    <vt:lpwstr>Kacperek, Natalia</vt:lpwstr>
  </property>
  <property fmtid="{D5CDD505-2E9C-101B-9397-08002B2CF9AE}" pid="15" name="_PreviousAdHocReviewCycleID">
    <vt:i4>594039539</vt:i4>
  </property>
</Properties>
</file>