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743CD738" w:rsidR="004A4EC3" w:rsidRPr="00070651" w:rsidRDefault="00CA19C9" w:rsidP="00C26E45">
      <w:pPr>
        <w:spacing w:line="360" w:lineRule="auto"/>
        <w:rPr>
          <w:rFonts w:eastAsiaTheme="majorEastAsia" w:cs="Times New Roman (Headings CS)"/>
          <w:b/>
          <w:color w:val="CC5733"/>
          <w:sz w:val="32"/>
          <w:szCs w:val="28"/>
        </w:rPr>
      </w:pPr>
      <w:r>
        <w:rPr>
          <w:rFonts w:eastAsiaTheme="majorEastAsia" w:cs="Times New Roman (Headings CS)"/>
          <w:b/>
          <w:color w:val="CC5733"/>
          <w:sz w:val="32"/>
          <w:szCs w:val="28"/>
        </w:rPr>
        <w:t>Policy Officer (AI)</w:t>
      </w:r>
      <w:r w:rsidR="004A4EC3" w:rsidRPr="00070651">
        <w:rPr>
          <w:rFonts w:eastAsiaTheme="majorEastAsia" w:cs="Times New Roman (Headings CS)"/>
          <w:b/>
          <w:color w:val="CC5733"/>
          <w:sz w:val="32"/>
          <w:szCs w:val="28"/>
        </w:rPr>
        <w:t xml:space="preserve">, </w:t>
      </w:r>
      <w:r w:rsidR="00EC1FCA">
        <w:rPr>
          <w:rFonts w:eastAsiaTheme="majorEastAsia" w:cs="Times New Roman (Headings CS)"/>
          <w:b/>
          <w:color w:val="CC5733"/>
          <w:sz w:val="32"/>
          <w:szCs w:val="28"/>
        </w:rPr>
        <w:t>L5</w:t>
      </w:r>
      <w:r w:rsidR="004A4EC3" w:rsidRPr="00070651">
        <w:rPr>
          <w:rFonts w:eastAsiaTheme="majorEastAsia" w:cs="Times New Roman (Headings CS)"/>
          <w:b/>
          <w:color w:val="CC5733"/>
          <w:sz w:val="32"/>
          <w:szCs w:val="28"/>
        </w:rPr>
        <w:t xml:space="preserve"> (</w:t>
      </w:r>
      <w:r w:rsidR="00EC1FCA">
        <w:rPr>
          <w:rFonts w:eastAsiaTheme="majorEastAsia" w:cs="Times New Roman (Headings CS)"/>
          <w:b/>
          <w:color w:val="CC5733"/>
          <w:sz w:val="32"/>
          <w:szCs w:val="28"/>
        </w:rPr>
        <w:t>DPC</w:t>
      </w:r>
      <w:r>
        <w:rPr>
          <w:rFonts w:eastAsiaTheme="majorEastAsia" w:cs="Times New Roman (Headings CS)"/>
          <w:b/>
          <w:color w:val="CC5733"/>
          <w:sz w:val="32"/>
          <w:szCs w:val="28"/>
        </w:rPr>
        <w:t>24040</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15"/>
        <w:gridCol w:w="2747"/>
        <w:gridCol w:w="1984"/>
        <w:gridCol w:w="2410"/>
      </w:tblGrid>
      <w:tr w:rsidR="004A4EC3" w:rsidRPr="00D007E3" w14:paraId="361BAA74" w14:textId="77777777" w:rsidTr="00070651">
        <w:trPr>
          <w:trHeight w:val="465"/>
        </w:trPr>
        <w:tc>
          <w:tcPr>
            <w:tcW w:w="2215" w:type="dxa"/>
          </w:tcPr>
          <w:p w14:paraId="77A0CA35" w14:textId="6A9CEB3C" w:rsidR="004A4EC3" w:rsidRPr="00D007E3" w:rsidRDefault="004A4EC3" w:rsidP="004A4EC3">
            <w:pPr>
              <w:pStyle w:val="Formfields"/>
              <w:framePr w:hSpace="0" w:wrap="auto" w:vAnchor="margin" w:yAlign="inline"/>
              <w:suppressOverlap w:val="0"/>
              <w:rPr>
                <w:color w:val="000000" w:themeColor="text1"/>
              </w:rPr>
            </w:pPr>
            <w:r w:rsidRPr="00D007E3">
              <w:t xml:space="preserve">Directorate: </w:t>
            </w:r>
          </w:p>
        </w:tc>
        <w:tc>
          <w:tcPr>
            <w:tcW w:w="2747" w:type="dxa"/>
          </w:tcPr>
          <w:p w14:paraId="6E7A5B79" w14:textId="3D1DEDB8" w:rsidR="004A4EC3" w:rsidRPr="00E528A2" w:rsidRDefault="00E528A2" w:rsidP="004A4EC3">
            <w:r>
              <w:t>Office of Digital Government</w:t>
            </w:r>
          </w:p>
        </w:tc>
        <w:tc>
          <w:tcPr>
            <w:tcW w:w="1984"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45025C6A" w:rsidR="004A4EC3" w:rsidRPr="00D007E3" w:rsidRDefault="00E528A2" w:rsidP="004A4EC3">
            <w:r w:rsidRPr="00E528A2">
              <w:t xml:space="preserve">Senior </w:t>
            </w:r>
            <w:r w:rsidR="007E79C9">
              <w:t>Policy Officer</w:t>
            </w:r>
          </w:p>
        </w:tc>
      </w:tr>
      <w:tr w:rsidR="004A4EC3" w:rsidRPr="00D007E3" w14:paraId="77F9C586" w14:textId="77777777" w:rsidTr="00D173A8">
        <w:trPr>
          <w:trHeight w:val="85"/>
        </w:trPr>
        <w:tc>
          <w:tcPr>
            <w:tcW w:w="2215"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2E261A49" w:rsidR="004A4EC3" w:rsidRPr="00E528A2" w:rsidRDefault="00E528A2" w:rsidP="004A4EC3">
            <w:r>
              <w:t>Data Unit</w:t>
            </w:r>
          </w:p>
        </w:tc>
        <w:tc>
          <w:tcPr>
            <w:tcW w:w="1984"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31AB46F6" w:rsidR="004A4EC3" w:rsidRPr="00D007E3" w:rsidRDefault="00E528A2" w:rsidP="004A4EC3">
            <w:r w:rsidRPr="00E528A2">
              <w:t>0 FTE</w:t>
            </w:r>
          </w:p>
        </w:tc>
      </w:tr>
      <w:tr w:rsidR="004A4EC3" w:rsidRPr="00D007E3" w14:paraId="6BBCF80B" w14:textId="77777777" w:rsidTr="00070651">
        <w:trPr>
          <w:trHeight w:val="434"/>
        </w:trPr>
        <w:tc>
          <w:tcPr>
            <w:tcW w:w="2215"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387572CE" w:rsidR="004A4EC3" w:rsidRPr="00D007E3" w:rsidRDefault="004A4EC3" w:rsidP="004A4EC3">
            <w:r w:rsidRPr="00C201F1">
              <w:t xml:space="preserve">Perth Metro </w:t>
            </w:r>
          </w:p>
        </w:tc>
        <w:tc>
          <w:tcPr>
            <w:tcW w:w="1984"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595A1274" w14:textId="33E06AD2" w:rsidR="004A3655" w:rsidRPr="004A3655" w:rsidRDefault="00776B62" w:rsidP="00070651">
      <w:pPr>
        <w:rPr>
          <w:rFonts w:cs="Calibri"/>
        </w:rPr>
      </w:pPr>
      <w:r>
        <w:t xml:space="preserve">The </w:t>
      </w:r>
      <w:r w:rsidRPr="00776B62">
        <w:t>Data</w:t>
      </w:r>
      <w:r>
        <w:t xml:space="preserve"> Unit</w:t>
      </w:r>
      <w:r w:rsidRPr="00776B62">
        <w:t xml:space="preserve"> </w:t>
      </w:r>
      <w:r>
        <w:t>is</w:t>
      </w:r>
      <w:r w:rsidRPr="00776B62">
        <w:t xml:space="preserve"> an interdisciplinary team tasked with improving how the public sector uses evidence to make better decisions and policy.  We work with a broad range of agencies and tackle the State’s most complex social, health, environmental and economic issues.  The work we do underpins better strategy, operations and service delivery in the whole sector.  If this sounds like something that interests you, please </w:t>
      </w:r>
      <w:r w:rsidR="00CA19C9" w:rsidRPr="00776B62">
        <w:t>apply.</w:t>
      </w:r>
      <w:r w:rsidR="00025438">
        <w:t xml:space="preserve"> </w:t>
      </w:r>
      <w:r w:rsidR="0030375D">
        <w:t xml:space="preserve"> </w:t>
      </w:r>
    </w:p>
    <w:p w14:paraId="7D1D0209" w14:textId="6A88ABFD" w:rsidR="00477E21" w:rsidRPr="00CD0B02" w:rsidRDefault="00A00DF9" w:rsidP="00CD0B02">
      <w:pPr>
        <w:rPr>
          <w:rFonts w:eastAsiaTheme="majorEastAsia" w:cs="Times New Roman (Headings CS)"/>
          <w:b/>
          <w:color w:val="CC5733"/>
        </w:rPr>
      </w:pPr>
      <w:r w:rsidRPr="00CD0B02">
        <w:rPr>
          <w:rFonts w:eastAsiaTheme="majorEastAsia" w:cs="Times New Roman (Headings CS)"/>
          <w:b/>
          <w:color w:val="CC5733"/>
        </w:rPr>
        <w:t xml:space="preserve">About the </w:t>
      </w:r>
      <w:r w:rsidR="00756536" w:rsidRPr="00CD0B02">
        <w:rPr>
          <w:rFonts w:eastAsiaTheme="majorEastAsia" w:cs="Times New Roman (Headings CS)"/>
          <w:b/>
          <w:color w:val="CC5733"/>
        </w:rPr>
        <w:t>Role</w:t>
      </w:r>
      <w:r w:rsidR="00C45F38" w:rsidRPr="00CD0B02">
        <w:rPr>
          <w:rFonts w:eastAsiaTheme="majorEastAsia" w:cs="Times New Roman (Headings CS)"/>
          <w:b/>
          <w:color w:val="CC5733"/>
        </w:rPr>
        <w:t xml:space="preserve"> </w:t>
      </w:r>
      <w:r w:rsidR="004A4EC3" w:rsidRPr="00CD0B02">
        <w:rPr>
          <w:rFonts w:eastAsiaTheme="majorEastAsia" w:cs="Times New Roman (Headings CS)"/>
          <w:b/>
          <w:color w:val="CC5733"/>
        </w:rPr>
        <w:t>and Responsibilities</w:t>
      </w:r>
    </w:p>
    <w:p w14:paraId="660B5CE8" w14:textId="214A6099" w:rsidR="004A0391" w:rsidRDefault="004A0391" w:rsidP="004A3655">
      <w:r>
        <w:t xml:space="preserve">The role is responsible for </w:t>
      </w:r>
      <w:r w:rsidR="00CA38A5">
        <w:t xml:space="preserve">contributing to </w:t>
      </w:r>
      <w:r>
        <w:t xml:space="preserve">implementing and improving the Artificial Intelligence </w:t>
      </w:r>
      <w:r w:rsidR="00A346FA">
        <w:t xml:space="preserve">(AI) </w:t>
      </w:r>
      <w:r>
        <w:t xml:space="preserve">Policy and Framework, ensuring that agencies are able to comply and assisting agencies with risk assessments.  The role requires maintaining awareness of new developments in </w:t>
      </w:r>
      <w:r w:rsidR="00A346FA">
        <w:t>AI</w:t>
      </w:r>
      <w:r>
        <w:t xml:space="preserve">, and how they could impact the risk profile of the public sector.  </w:t>
      </w:r>
      <w:r w:rsidR="00433A20">
        <w:t>You will provide advice to agencies and to government regarding how to manage and minimise risk, as well as realise the benefits of AI in the public sector.</w:t>
      </w:r>
    </w:p>
    <w:p w14:paraId="3A07CDD2" w14:textId="0CA89756" w:rsidR="00756536" w:rsidRPr="00F12840" w:rsidRDefault="00756536" w:rsidP="00070651">
      <w:pPr>
        <w:pStyle w:val="Heading3"/>
        <w:rPr>
          <w:rFonts w:cs="Arial"/>
          <w:sz w:val="24"/>
        </w:rPr>
      </w:pPr>
      <w:r w:rsidRPr="00F12840">
        <w:rPr>
          <w:rFonts w:cs="Arial"/>
          <w:sz w:val="24"/>
        </w:rPr>
        <w:t xml:space="preserve">Policy </w:t>
      </w:r>
      <w:r w:rsidR="00F12840" w:rsidRPr="00F12840">
        <w:rPr>
          <w:rFonts w:cs="Arial"/>
          <w:sz w:val="24"/>
        </w:rPr>
        <w:t xml:space="preserve">and Governance </w:t>
      </w:r>
      <w:r w:rsidRPr="00F12840">
        <w:rPr>
          <w:rFonts w:cs="Arial"/>
          <w:sz w:val="24"/>
        </w:rPr>
        <w:t xml:space="preserve">Development </w:t>
      </w:r>
    </w:p>
    <w:p w14:paraId="31405BE6" w14:textId="4BED2785" w:rsidR="00663598" w:rsidRPr="002760E9" w:rsidRDefault="00EC1FCA" w:rsidP="00103C9E">
      <w:pPr>
        <w:pStyle w:val="ListParagraph"/>
        <w:numPr>
          <w:ilvl w:val="0"/>
          <w:numId w:val="17"/>
        </w:numPr>
        <w:spacing w:after="0"/>
        <w:ind w:left="357" w:hanging="357"/>
        <w:rPr>
          <w:szCs w:val="24"/>
        </w:rPr>
      </w:pPr>
      <w:r>
        <w:rPr>
          <w:szCs w:val="24"/>
        </w:rPr>
        <w:t>Supports the d</w:t>
      </w:r>
      <w:r w:rsidR="00525962" w:rsidRPr="009D72A9">
        <w:rPr>
          <w:szCs w:val="24"/>
        </w:rPr>
        <w:t>evelop</w:t>
      </w:r>
      <w:r>
        <w:rPr>
          <w:szCs w:val="24"/>
        </w:rPr>
        <w:t>ment</w:t>
      </w:r>
      <w:r w:rsidR="00525962" w:rsidRPr="009D72A9">
        <w:rPr>
          <w:szCs w:val="24"/>
        </w:rPr>
        <w:t xml:space="preserve"> </w:t>
      </w:r>
      <w:r w:rsidR="005D7CAA">
        <w:rPr>
          <w:szCs w:val="24"/>
        </w:rPr>
        <w:t xml:space="preserve">of </w:t>
      </w:r>
      <w:r w:rsidR="00525962" w:rsidRPr="009D72A9">
        <w:rPr>
          <w:szCs w:val="24"/>
        </w:rPr>
        <w:t xml:space="preserve">frameworks, tools, </w:t>
      </w:r>
      <w:r w:rsidR="002149E3">
        <w:rPr>
          <w:szCs w:val="24"/>
        </w:rPr>
        <w:t xml:space="preserve">and </w:t>
      </w:r>
      <w:r w:rsidR="00525962" w:rsidRPr="009D72A9">
        <w:rPr>
          <w:szCs w:val="24"/>
        </w:rPr>
        <w:t>cabinet submissions</w:t>
      </w:r>
      <w:r w:rsidR="00103C9E">
        <w:rPr>
          <w:szCs w:val="24"/>
        </w:rPr>
        <w:t xml:space="preserve"> </w:t>
      </w:r>
      <w:r w:rsidR="002149E3">
        <w:rPr>
          <w:szCs w:val="24"/>
        </w:rPr>
        <w:t xml:space="preserve">to </w:t>
      </w:r>
      <w:r w:rsidR="00103C9E" w:rsidRPr="00103C9E">
        <w:rPr>
          <w:b/>
          <w:bCs/>
          <w:szCs w:val="24"/>
        </w:rPr>
        <w:t>manage risk and get benefits from new development</w:t>
      </w:r>
      <w:r w:rsidR="00520AE2">
        <w:rPr>
          <w:b/>
          <w:bCs/>
          <w:szCs w:val="24"/>
        </w:rPr>
        <w:t>s</w:t>
      </w:r>
      <w:r w:rsidR="00103C9E" w:rsidRPr="00103C9E">
        <w:rPr>
          <w:b/>
          <w:bCs/>
          <w:szCs w:val="24"/>
        </w:rPr>
        <w:t xml:space="preserve"> in AI</w:t>
      </w:r>
      <w:r w:rsidR="00520AE2">
        <w:rPr>
          <w:b/>
          <w:bCs/>
          <w:szCs w:val="24"/>
        </w:rPr>
        <w:t>,</w:t>
      </w:r>
      <w:r w:rsidR="00103C9E">
        <w:rPr>
          <w:b/>
          <w:bCs/>
          <w:szCs w:val="24"/>
        </w:rPr>
        <w:t xml:space="preserve"> and ensure</w:t>
      </w:r>
      <w:r w:rsidR="00520AE2">
        <w:rPr>
          <w:b/>
          <w:bCs/>
          <w:szCs w:val="24"/>
        </w:rPr>
        <w:t>s</w:t>
      </w:r>
      <w:r w:rsidR="00103C9E">
        <w:rPr>
          <w:b/>
          <w:bCs/>
          <w:szCs w:val="24"/>
        </w:rPr>
        <w:t xml:space="preserve"> these </w:t>
      </w:r>
      <w:r w:rsidR="00520AE2">
        <w:rPr>
          <w:b/>
          <w:bCs/>
          <w:szCs w:val="24"/>
        </w:rPr>
        <w:t xml:space="preserve">tools </w:t>
      </w:r>
      <w:r w:rsidR="00103C9E">
        <w:rPr>
          <w:b/>
          <w:bCs/>
          <w:szCs w:val="24"/>
        </w:rPr>
        <w:t xml:space="preserve">remain </w:t>
      </w:r>
      <w:r w:rsidR="00663598" w:rsidRPr="00103C9E">
        <w:t>up to date</w:t>
      </w:r>
      <w:r w:rsidR="002760E9">
        <w:t>.</w:t>
      </w:r>
    </w:p>
    <w:p w14:paraId="4A31BBD8" w14:textId="77777777" w:rsidR="002760E9" w:rsidRDefault="002760E9" w:rsidP="002760E9">
      <w:pPr>
        <w:pStyle w:val="ListParagraph"/>
        <w:numPr>
          <w:ilvl w:val="0"/>
          <w:numId w:val="17"/>
        </w:numPr>
        <w:spacing w:after="0"/>
        <w:ind w:left="357" w:hanging="357"/>
        <w:rPr>
          <w:szCs w:val="24"/>
        </w:rPr>
      </w:pPr>
      <w:r>
        <w:rPr>
          <w:szCs w:val="24"/>
        </w:rPr>
        <w:t xml:space="preserve">Undertakes work to ensure the </w:t>
      </w:r>
      <w:r w:rsidRPr="00A346FA">
        <w:rPr>
          <w:b/>
          <w:bCs/>
          <w:szCs w:val="24"/>
        </w:rPr>
        <w:t>relevance and practicality</w:t>
      </w:r>
      <w:r>
        <w:rPr>
          <w:szCs w:val="24"/>
        </w:rPr>
        <w:t xml:space="preserve"> of the </w:t>
      </w:r>
      <w:r w:rsidRPr="009D72A9">
        <w:rPr>
          <w:szCs w:val="24"/>
        </w:rPr>
        <w:t>AI Assurance Framework</w:t>
      </w:r>
      <w:r>
        <w:rPr>
          <w:szCs w:val="24"/>
        </w:rPr>
        <w:t xml:space="preserve"> and Policy.</w:t>
      </w:r>
    </w:p>
    <w:p w14:paraId="49024317" w14:textId="1E0BD9D6" w:rsidR="00A9655F" w:rsidRPr="00103C9E" w:rsidRDefault="00A9655F" w:rsidP="00A9655F">
      <w:pPr>
        <w:pStyle w:val="ListParagraph"/>
        <w:numPr>
          <w:ilvl w:val="0"/>
          <w:numId w:val="17"/>
        </w:numPr>
        <w:spacing w:after="0"/>
        <w:ind w:left="357" w:hanging="357"/>
        <w:rPr>
          <w:szCs w:val="24"/>
        </w:rPr>
      </w:pPr>
      <w:r>
        <w:rPr>
          <w:szCs w:val="24"/>
        </w:rPr>
        <w:lastRenderedPageBreak/>
        <w:t xml:space="preserve">Maintains </w:t>
      </w:r>
      <w:r w:rsidRPr="00103C9E">
        <w:rPr>
          <w:b/>
          <w:bCs/>
          <w:szCs w:val="24"/>
        </w:rPr>
        <w:t>oversight</w:t>
      </w:r>
      <w:r>
        <w:rPr>
          <w:szCs w:val="24"/>
        </w:rPr>
        <w:t xml:space="preserve"> of policies, frameworks and guidance at the </w:t>
      </w:r>
      <w:r w:rsidRPr="00103C9E">
        <w:rPr>
          <w:b/>
          <w:bCs/>
          <w:szCs w:val="24"/>
        </w:rPr>
        <w:t>national level and in Australian jurisdictions</w:t>
      </w:r>
      <w:r>
        <w:rPr>
          <w:szCs w:val="24"/>
        </w:rPr>
        <w:t xml:space="preserve"> </w:t>
      </w:r>
      <w:r>
        <w:t>and exercises judgement about their applicability in Western Australia.</w:t>
      </w:r>
    </w:p>
    <w:p w14:paraId="7BB2FE3D" w14:textId="60BAD8FB" w:rsidR="002760E9" w:rsidRPr="002760E9" w:rsidRDefault="002760E9" w:rsidP="002760E9">
      <w:pPr>
        <w:pStyle w:val="ListParagraph"/>
        <w:numPr>
          <w:ilvl w:val="0"/>
          <w:numId w:val="17"/>
        </w:numPr>
        <w:spacing w:after="0"/>
        <w:ind w:left="357" w:hanging="357"/>
        <w:rPr>
          <w:szCs w:val="24"/>
        </w:rPr>
      </w:pPr>
      <w:r>
        <w:rPr>
          <w:szCs w:val="24"/>
        </w:rPr>
        <w:t xml:space="preserve">Provides secretariat support for </w:t>
      </w:r>
      <w:r w:rsidRPr="009D72A9">
        <w:rPr>
          <w:szCs w:val="24"/>
        </w:rPr>
        <w:t xml:space="preserve">an </w:t>
      </w:r>
      <w:r w:rsidRPr="008C5302">
        <w:rPr>
          <w:b/>
          <w:bCs/>
          <w:szCs w:val="24"/>
        </w:rPr>
        <w:t>inter-agency AI working group</w:t>
      </w:r>
      <w:r w:rsidR="005D7CAA">
        <w:rPr>
          <w:szCs w:val="24"/>
        </w:rPr>
        <w:t xml:space="preserve"> and supports the </w:t>
      </w:r>
      <w:r w:rsidR="005D7CAA" w:rsidRPr="00115196">
        <w:rPr>
          <w:b/>
          <w:bCs/>
          <w:szCs w:val="24"/>
        </w:rPr>
        <w:t>secretariat</w:t>
      </w:r>
      <w:r w:rsidR="005D7CAA">
        <w:rPr>
          <w:szCs w:val="24"/>
        </w:rPr>
        <w:t xml:space="preserve"> function of the WA Government AI Advisory Board</w:t>
      </w:r>
      <w:r>
        <w:rPr>
          <w:b/>
          <w:bCs/>
          <w:szCs w:val="24"/>
        </w:rPr>
        <w:t>.</w:t>
      </w:r>
      <w:r w:rsidRPr="009D72A9">
        <w:rPr>
          <w:szCs w:val="24"/>
        </w:rPr>
        <w:t xml:space="preserve"> </w:t>
      </w:r>
    </w:p>
    <w:p w14:paraId="03CF070C" w14:textId="19CE44CE" w:rsidR="00756536" w:rsidRPr="00F12840" w:rsidRDefault="00F12840" w:rsidP="00070651">
      <w:pPr>
        <w:pStyle w:val="Heading3"/>
        <w:rPr>
          <w:rFonts w:cs="Arial"/>
          <w:sz w:val="24"/>
        </w:rPr>
      </w:pPr>
      <w:r w:rsidRPr="00F12840">
        <w:rPr>
          <w:rFonts w:cs="Arial"/>
          <w:sz w:val="24"/>
        </w:rPr>
        <w:t>Engagement</w:t>
      </w:r>
      <w:r w:rsidR="00663598">
        <w:rPr>
          <w:rFonts w:cs="Arial"/>
          <w:sz w:val="24"/>
        </w:rPr>
        <w:t xml:space="preserve"> and Communication</w:t>
      </w:r>
    </w:p>
    <w:p w14:paraId="384DFC86" w14:textId="2BB08B72" w:rsidR="00721C5E" w:rsidRDefault="00F12840" w:rsidP="009D72A9">
      <w:pPr>
        <w:pStyle w:val="ListParagraph"/>
        <w:numPr>
          <w:ilvl w:val="0"/>
          <w:numId w:val="17"/>
        </w:numPr>
        <w:spacing w:after="0"/>
        <w:ind w:left="357" w:hanging="357"/>
        <w:rPr>
          <w:szCs w:val="24"/>
        </w:rPr>
      </w:pPr>
      <w:r w:rsidRPr="00F12840">
        <w:rPr>
          <w:szCs w:val="24"/>
        </w:rPr>
        <w:t xml:space="preserve">Clearly and concisely presents and </w:t>
      </w:r>
      <w:r w:rsidRPr="00DF795C">
        <w:rPr>
          <w:b/>
          <w:bCs/>
          <w:szCs w:val="24"/>
        </w:rPr>
        <w:t>explains complex information</w:t>
      </w:r>
      <w:r w:rsidRPr="00F12840">
        <w:rPr>
          <w:szCs w:val="24"/>
        </w:rPr>
        <w:t xml:space="preserve"> and policy </w:t>
      </w:r>
      <w:r w:rsidR="008C5302">
        <w:rPr>
          <w:szCs w:val="24"/>
        </w:rPr>
        <w:t>advice</w:t>
      </w:r>
      <w:r w:rsidR="006938A9">
        <w:rPr>
          <w:szCs w:val="24"/>
        </w:rPr>
        <w:t xml:space="preserve"> </w:t>
      </w:r>
      <w:r w:rsidR="006938A9" w:rsidRPr="00DF795C">
        <w:rPr>
          <w:b/>
          <w:bCs/>
          <w:szCs w:val="24"/>
        </w:rPr>
        <w:t>to a diverse audience</w:t>
      </w:r>
      <w:r w:rsidR="006938A9">
        <w:rPr>
          <w:szCs w:val="24"/>
        </w:rPr>
        <w:t xml:space="preserve"> of agencies, Ministers, technical staff and decision makers</w:t>
      </w:r>
      <w:r w:rsidR="002760E9">
        <w:rPr>
          <w:szCs w:val="24"/>
        </w:rPr>
        <w:t>.</w:t>
      </w:r>
    </w:p>
    <w:p w14:paraId="3DCF5AC1" w14:textId="27FAC041" w:rsidR="002760E9" w:rsidRDefault="002760E9" w:rsidP="002760E9">
      <w:pPr>
        <w:pStyle w:val="ListParagraph"/>
        <w:numPr>
          <w:ilvl w:val="0"/>
          <w:numId w:val="17"/>
        </w:numPr>
        <w:spacing w:after="0"/>
        <w:ind w:left="357" w:hanging="357"/>
        <w:rPr>
          <w:szCs w:val="24"/>
        </w:rPr>
      </w:pPr>
      <w:r w:rsidRPr="00A9655F">
        <w:rPr>
          <w:szCs w:val="24"/>
        </w:rPr>
        <w:t xml:space="preserve">Maintains </w:t>
      </w:r>
      <w:r w:rsidRPr="002921CE">
        <w:rPr>
          <w:b/>
          <w:bCs/>
          <w:szCs w:val="24"/>
        </w:rPr>
        <w:t>regular, productive communications</w:t>
      </w:r>
      <w:r w:rsidRPr="00A9655F">
        <w:rPr>
          <w:szCs w:val="24"/>
        </w:rPr>
        <w:t xml:space="preserve"> with agencies and facilitates workshops and meetings as required</w:t>
      </w:r>
      <w:r>
        <w:rPr>
          <w:szCs w:val="24"/>
        </w:rPr>
        <w:t>.</w:t>
      </w:r>
    </w:p>
    <w:p w14:paraId="553232C8" w14:textId="77777777" w:rsidR="002760E9" w:rsidRDefault="002760E9" w:rsidP="002760E9">
      <w:pPr>
        <w:pStyle w:val="ListParagraph"/>
        <w:numPr>
          <w:ilvl w:val="0"/>
          <w:numId w:val="17"/>
        </w:numPr>
        <w:spacing w:after="0"/>
        <w:ind w:left="357" w:hanging="357"/>
        <w:rPr>
          <w:szCs w:val="24"/>
        </w:rPr>
      </w:pPr>
      <w:r w:rsidRPr="009D72A9">
        <w:rPr>
          <w:szCs w:val="24"/>
        </w:rPr>
        <w:t>C</w:t>
      </w:r>
      <w:r>
        <w:rPr>
          <w:szCs w:val="24"/>
        </w:rPr>
        <w:t>ontributes to the development of written c</w:t>
      </w:r>
      <w:r w:rsidRPr="009D72A9">
        <w:rPr>
          <w:szCs w:val="24"/>
        </w:rPr>
        <w:t>ommunications: maintain</w:t>
      </w:r>
      <w:r>
        <w:rPr>
          <w:szCs w:val="24"/>
        </w:rPr>
        <w:t>s a</w:t>
      </w:r>
      <w:r w:rsidRPr="009D72A9">
        <w:rPr>
          <w:szCs w:val="24"/>
        </w:rPr>
        <w:t xml:space="preserve"> </w:t>
      </w:r>
      <w:r w:rsidRPr="00DF795C">
        <w:rPr>
          <w:b/>
          <w:bCs/>
          <w:szCs w:val="24"/>
        </w:rPr>
        <w:t>website, FAQs, and guidance resources</w:t>
      </w:r>
      <w:r>
        <w:rPr>
          <w:b/>
          <w:bCs/>
          <w:szCs w:val="24"/>
        </w:rPr>
        <w:t>.</w:t>
      </w:r>
    </w:p>
    <w:p w14:paraId="7FFE034B" w14:textId="16A70134" w:rsidR="00525962" w:rsidRPr="00525962" w:rsidRDefault="00525962" w:rsidP="009D72A9">
      <w:pPr>
        <w:pStyle w:val="ListParagraph"/>
        <w:numPr>
          <w:ilvl w:val="0"/>
          <w:numId w:val="17"/>
        </w:numPr>
        <w:spacing w:after="0"/>
        <w:ind w:left="357" w:hanging="357"/>
        <w:rPr>
          <w:szCs w:val="24"/>
        </w:rPr>
      </w:pPr>
      <w:r>
        <w:t xml:space="preserve">Understands barriers </w:t>
      </w:r>
      <w:r w:rsidR="006938A9">
        <w:t xml:space="preserve">to safe and successful implementation of AI in government </w:t>
      </w:r>
      <w:proofErr w:type="gramStart"/>
      <w:r w:rsidR="006938A9">
        <w:t xml:space="preserve">and </w:t>
      </w:r>
      <w:r>
        <w:t xml:space="preserve"> creates</w:t>
      </w:r>
      <w:proofErr w:type="gramEnd"/>
      <w:r>
        <w:t xml:space="preserve"> solutions to </w:t>
      </w:r>
      <w:r w:rsidRPr="00DF795C">
        <w:rPr>
          <w:b/>
          <w:bCs/>
        </w:rPr>
        <w:t>navigate these barriers</w:t>
      </w:r>
      <w:r w:rsidR="00EC1FCA">
        <w:rPr>
          <w:b/>
          <w:bCs/>
        </w:rPr>
        <w:t>.</w:t>
      </w:r>
    </w:p>
    <w:p w14:paraId="7CB939FD" w14:textId="0BEADD1D" w:rsidR="00756536" w:rsidRPr="00525962" w:rsidRDefault="00B27B1E" w:rsidP="00070651">
      <w:pPr>
        <w:pStyle w:val="Heading3"/>
        <w:rPr>
          <w:rFonts w:cs="Arial"/>
          <w:sz w:val="24"/>
        </w:rPr>
      </w:pPr>
      <w:r>
        <w:rPr>
          <w:rFonts w:cs="Arial"/>
          <w:sz w:val="24"/>
        </w:rPr>
        <w:t>Provide</w:t>
      </w:r>
      <w:r w:rsidR="009D72A9">
        <w:rPr>
          <w:rFonts w:cs="Arial"/>
          <w:sz w:val="24"/>
        </w:rPr>
        <w:t xml:space="preserve"> </w:t>
      </w:r>
      <w:r>
        <w:rPr>
          <w:rFonts w:cs="Arial"/>
          <w:sz w:val="24"/>
        </w:rPr>
        <w:t>a</w:t>
      </w:r>
      <w:r w:rsidR="00F12840" w:rsidRPr="00525962">
        <w:rPr>
          <w:rFonts w:cs="Arial"/>
          <w:sz w:val="24"/>
        </w:rPr>
        <w:t>dvice</w:t>
      </w:r>
      <w:r>
        <w:rPr>
          <w:rFonts w:cs="Arial"/>
          <w:sz w:val="24"/>
        </w:rPr>
        <w:t xml:space="preserve"> to the sector</w:t>
      </w:r>
    </w:p>
    <w:p w14:paraId="07954B67" w14:textId="77777777" w:rsidR="006E743E" w:rsidRPr="006E743E" w:rsidRDefault="006E743E" w:rsidP="006E743E">
      <w:pPr>
        <w:pStyle w:val="ListParagraph"/>
        <w:numPr>
          <w:ilvl w:val="0"/>
          <w:numId w:val="17"/>
        </w:numPr>
        <w:spacing w:after="0"/>
        <w:ind w:left="357" w:hanging="357"/>
        <w:rPr>
          <w:szCs w:val="24"/>
        </w:rPr>
      </w:pPr>
      <w:r>
        <w:rPr>
          <w:b/>
          <w:bCs/>
        </w:rPr>
        <w:t>P</w:t>
      </w:r>
      <w:r w:rsidRPr="00710CDA">
        <w:rPr>
          <w:b/>
          <w:bCs/>
        </w:rPr>
        <w:t xml:space="preserve">rovides advice on wide ranging </w:t>
      </w:r>
      <w:r>
        <w:rPr>
          <w:b/>
          <w:bCs/>
        </w:rPr>
        <w:t xml:space="preserve">policy </w:t>
      </w:r>
      <w:r w:rsidRPr="00710CDA">
        <w:rPr>
          <w:b/>
          <w:bCs/>
        </w:rPr>
        <w:t>matters</w:t>
      </w:r>
      <w:r>
        <w:t xml:space="preserve"> as it applies to AI and its use in the public sector.</w:t>
      </w:r>
    </w:p>
    <w:p w14:paraId="1E877E8D" w14:textId="77777777" w:rsidR="006E743E" w:rsidRDefault="006E743E" w:rsidP="006E743E">
      <w:pPr>
        <w:pStyle w:val="ListParagraph"/>
        <w:numPr>
          <w:ilvl w:val="0"/>
          <w:numId w:val="17"/>
        </w:numPr>
        <w:spacing w:after="0"/>
        <w:ind w:left="357" w:hanging="357"/>
        <w:rPr>
          <w:szCs w:val="24"/>
        </w:rPr>
      </w:pPr>
      <w:r w:rsidRPr="00525962">
        <w:rPr>
          <w:szCs w:val="24"/>
        </w:rPr>
        <w:t xml:space="preserve">Provides an </w:t>
      </w:r>
      <w:r w:rsidRPr="00DF795C">
        <w:rPr>
          <w:b/>
          <w:bCs/>
          <w:szCs w:val="24"/>
        </w:rPr>
        <w:t>advisory and consultancy</w:t>
      </w:r>
      <w:r w:rsidRPr="00525962">
        <w:rPr>
          <w:szCs w:val="24"/>
        </w:rPr>
        <w:t xml:space="preserve"> service to internal and external stakeholders, drawing on </w:t>
      </w:r>
      <w:r>
        <w:rPr>
          <w:szCs w:val="24"/>
        </w:rPr>
        <w:t>input from</w:t>
      </w:r>
      <w:r w:rsidRPr="00525962">
        <w:rPr>
          <w:szCs w:val="24"/>
        </w:rPr>
        <w:t xml:space="preserve"> expert</w:t>
      </w:r>
      <w:r>
        <w:rPr>
          <w:szCs w:val="24"/>
        </w:rPr>
        <w:t>s</w:t>
      </w:r>
      <w:r w:rsidRPr="00525962">
        <w:rPr>
          <w:szCs w:val="24"/>
        </w:rPr>
        <w:t xml:space="preserve"> </w:t>
      </w:r>
      <w:r>
        <w:rPr>
          <w:szCs w:val="24"/>
        </w:rPr>
        <w:t>and</w:t>
      </w:r>
      <w:r>
        <w:t xml:space="preserve"> interjurisdictional precedent</w:t>
      </w:r>
      <w:r w:rsidRPr="00525962">
        <w:rPr>
          <w:szCs w:val="24"/>
        </w:rPr>
        <w:t xml:space="preserve"> as required</w:t>
      </w:r>
      <w:r>
        <w:rPr>
          <w:szCs w:val="24"/>
        </w:rPr>
        <w:t>.</w:t>
      </w:r>
    </w:p>
    <w:p w14:paraId="590FF7A4" w14:textId="151947C6" w:rsidR="00650548" w:rsidRPr="00E527BB" w:rsidRDefault="00DF795C" w:rsidP="00E527BB">
      <w:pPr>
        <w:pStyle w:val="ListParagraph"/>
        <w:numPr>
          <w:ilvl w:val="0"/>
          <w:numId w:val="17"/>
        </w:numPr>
        <w:spacing w:after="0"/>
        <w:ind w:left="357" w:hanging="357"/>
        <w:rPr>
          <w:szCs w:val="24"/>
        </w:rPr>
      </w:pPr>
      <w:r>
        <w:rPr>
          <w:szCs w:val="24"/>
        </w:rPr>
        <w:t xml:space="preserve">Reviews </w:t>
      </w:r>
      <w:r w:rsidRPr="00E527BB">
        <w:rPr>
          <w:b/>
          <w:bCs/>
          <w:szCs w:val="24"/>
        </w:rPr>
        <w:t xml:space="preserve">agency </w:t>
      </w:r>
      <w:r w:rsidR="00710CDA" w:rsidRPr="00E527BB">
        <w:rPr>
          <w:b/>
          <w:bCs/>
          <w:szCs w:val="24"/>
        </w:rPr>
        <w:t>submissions</w:t>
      </w:r>
      <w:r w:rsidR="00710CDA">
        <w:rPr>
          <w:szCs w:val="24"/>
        </w:rPr>
        <w:t>, identifies</w:t>
      </w:r>
      <w:r>
        <w:rPr>
          <w:szCs w:val="24"/>
        </w:rPr>
        <w:t xml:space="preserve"> issues, provides advice on solutions, and assesses and advises on next steps</w:t>
      </w:r>
      <w:r w:rsidR="006E743E">
        <w:rPr>
          <w:szCs w:val="24"/>
        </w:rPr>
        <w:t>.</w:t>
      </w:r>
    </w:p>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9D72A9" w:rsidRDefault="00F167A5" w:rsidP="009D72A9">
      <w:pPr>
        <w:pStyle w:val="ListParagraph"/>
        <w:numPr>
          <w:ilvl w:val="0"/>
          <w:numId w:val="17"/>
        </w:numPr>
        <w:spacing w:after="0"/>
        <w:ind w:left="357" w:hanging="357"/>
        <w:rPr>
          <w:szCs w:val="24"/>
        </w:rPr>
      </w:pPr>
      <w:r w:rsidRPr="009D72A9">
        <w:rPr>
          <w:szCs w:val="24"/>
        </w:rPr>
        <w:t>Exhibits accountability, professional integrity and respect consistent with DPC Values, the Code of Conduct, and the public sector Code of Ethics.</w:t>
      </w:r>
    </w:p>
    <w:p w14:paraId="67C9CBAC" w14:textId="77777777" w:rsidR="00F167A5" w:rsidRPr="009D72A9" w:rsidRDefault="00F167A5" w:rsidP="009D72A9">
      <w:pPr>
        <w:pStyle w:val="ListParagraph"/>
        <w:numPr>
          <w:ilvl w:val="0"/>
          <w:numId w:val="17"/>
        </w:numPr>
        <w:spacing w:after="0"/>
        <w:ind w:left="357" w:hanging="357"/>
        <w:rPr>
          <w:szCs w:val="24"/>
        </w:rPr>
      </w:pPr>
      <w:r w:rsidRPr="009D72A9">
        <w:rPr>
          <w:szCs w:val="24"/>
        </w:rPr>
        <w:t>Takes reasonable care to protect your own safety and health at work, and that of others by co-operating with the safety and health policies and procedures of the Department and complying with all provisions of the Work Health and Safety Act 2020</w:t>
      </w:r>
    </w:p>
    <w:p w14:paraId="43976E59" w14:textId="77777777" w:rsidR="00F167A5" w:rsidRPr="00663598" w:rsidRDefault="00F167A5" w:rsidP="00663598">
      <w:pPr>
        <w:pStyle w:val="ListParagraph"/>
        <w:numPr>
          <w:ilvl w:val="0"/>
          <w:numId w:val="17"/>
        </w:numPr>
        <w:spacing w:after="0"/>
        <w:ind w:left="357" w:hanging="357"/>
        <w:rPr>
          <w:szCs w:val="24"/>
        </w:rPr>
      </w:pPr>
      <w:r w:rsidRPr="00663598">
        <w:rPr>
          <w:szCs w:val="24"/>
        </w:rPr>
        <w:t>Undertakes other duties as required.</w:t>
      </w:r>
    </w:p>
    <w:p w14:paraId="53311947" w14:textId="18BEF484" w:rsidR="00B646FB" w:rsidRPr="00070651" w:rsidRDefault="007421AD" w:rsidP="00C47631">
      <w:pPr>
        <w:pStyle w:val="Heading2"/>
        <w:rPr>
          <w:sz w:val="24"/>
          <w:szCs w:val="24"/>
        </w:rPr>
      </w:pPr>
      <w:r>
        <w:rPr>
          <w:sz w:val="24"/>
          <w:szCs w:val="24"/>
        </w:rPr>
        <w:t>Work Related Capabilities (Selection Criteria)</w:t>
      </w:r>
    </w:p>
    <w:p w14:paraId="1F3DB656" w14:textId="53D1557F" w:rsidR="006F0F95" w:rsidRDefault="006E743E" w:rsidP="00920B5F">
      <w:pPr>
        <w:pStyle w:val="ListParagraph"/>
        <w:numPr>
          <w:ilvl w:val="0"/>
          <w:numId w:val="9"/>
        </w:numPr>
        <w:tabs>
          <w:tab w:val="left" w:pos="5841"/>
        </w:tabs>
        <w:ind w:left="567"/>
      </w:pPr>
      <w:r>
        <w:t>E</w:t>
      </w:r>
      <w:r w:rsidR="00310176">
        <w:t xml:space="preserve">xperience in </w:t>
      </w:r>
      <w:r w:rsidR="00310176" w:rsidRPr="00310176">
        <w:rPr>
          <w:b/>
          <w:bCs/>
        </w:rPr>
        <w:t>policy development and implementation</w:t>
      </w:r>
      <w:r w:rsidR="00310176">
        <w:t xml:space="preserve">, including the ability to provide advice and support. </w:t>
      </w:r>
    </w:p>
    <w:p w14:paraId="231E16E0" w14:textId="4DA075C6" w:rsidR="00310176" w:rsidRDefault="00310176" w:rsidP="00310176">
      <w:pPr>
        <w:pStyle w:val="ListParagraph"/>
        <w:numPr>
          <w:ilvl w:val="0"/>
          <w:numId w:val="9"/>
        </w:numPr>
        <w:ind w:left="567"/>
        <w:rPr>
          <w:color w:val="auto"/>
        </w:rPr>
      </w:pPr>
      <w:proofErr w:type="spellStart"/>
      <w:r>
        <w:rPr>
          <w:color w:val="auto"/>
        </w:rPr>
        <w:t>Well developed</w:t>
      </w:r>
      <w:proofErr w:type="spellEnd"/>
      <w:r>
        <w:rPr>
          <w:color w:val="auto"/>
        </w:rPr>
        <w:t xml:space="preserve"> </w:t>
      </w:r>
      <w:r w:rsidRPr="00310176">
        <w:rPr>
          <w:b/>
          <w:bCs/>
          <w:color w:val="auto"/>
        </w:rPr>
        <w:t>written communication skills</w:t>
      </w:r>
      <w:r>
        <w:rPr>
          <w:color w:val="auto"/>
        </w:rPr>
        <w:t xml:space="preserve"> and experience in c</w:t>
      </w:r>
      <w:r w:rsidRPr="00300C8A">
        <w:rPr>
          <w:color w:val="auto"/>
        </w:rPr>
        <w:t>ommunicat</w:t>
      </w:r>
      <w:r>
        <w:rPr>
          <w:color w:val="auto"/>
        </w:rPr>
        <w:t>ing issues to a diverse audience</w:t>
      </w:r>
      <w:r w:rsidR="006E743E">
        <w:rPr>
          <w:color w:val="auto"/>
        </w:rPr>
        <w:t>.</w:t>
      </w:r>
    </w:p>
    <w:p w14:paraId="54605715" w14:textId="59C5E170" w:rsidR="00310176" w:rsidRPr="00310176" w:rsidRDefault="006E743E" w:rsidP="00310176">
      <w:pPr>
        <w:pStyle w:val="ListParagraph"/>
        <w:numPr>
          <w:ilvl w:val="0"/>
          <w:numId w:val="9"/>
        </w:numPr>
        <w:tabs>
          <w:tab w:val="left" w:pos="5841"/>
        </w:tabs>
        <w:ind w:left="567"/>
        <w:rPr>
          <w:color w:val="auto"/>
        </w:rPr>
      </w:pPr>
      <w:r>
        <w:t>E</w:t>
      </w:r>
      <w:r w:rsidR="00310176">
        <w:t xml:space="preserve">xperience </w:t>
      </w:r>
      <w:r w:rsidR="00310176" w:rsidRPr="00310176">
        <w:rPr>
          <w:b/>
          <w:bCs/>
        </w:rPr>
        <w:t>building and sustaining relationships</w:t>
      </w:r>
      <w:r w:rsidR="00310176">
        <w:t xml:space="preserve"> with stakeholders to support outcomes. </w:t>
      </w:r>
    </w:p>
    <w:p w14:paraId="0D155A73" w14:textId="77777777" w:rsidR="00310176" w:rsidRDefault="00310176" w:rsidP="00310176">
      <w:pPr>
        <w:pStyle w:val="ListParagraph"/>
        <w:numPr>
          <w:ilvl w:val="0"/>
          <w:numId w:val="9"/>
        </w:numPr>
        <w:tabs>
          <w:tab w:val="left" w:pos="5841"/>
        </w:tabs>
        <w:ind w:left="567"/>
      </w:pPr>
      <w:r>
        <w:t xml:space="preserve">Demonstrated research, </w:t>
      </w:r>
      <w:r w:rsidRPr="00310176">
        <w:rPr>
          <w:b/>
          <w:bCs/>
        </w:rPr>
        <w:t>conceptual and analysis skills</w:t>
      </w:r>
      <w:r>
        <w:t xml:space="preserve">, with experience in using research findings to inform decision-making. </w:t>
      </w:r>
    </w:p>
    <w:p w14:paraId="2444A501" w14:textId="77777777" w:rsidR="00310176" w:rsidRDefault="00310176" w:rsidP="00310176">
      <w:pPr>
        <w:tabs>
          <w:tab w:val="left" w:pos="5841"/>
        </w:tabs>
      </w:pPr>
    </w:p>
    <w:p w14:paraId="59F37A76" w14:textId="54C65649" w:rsidR="00310176" w:rsidRPr="00310176" w:rsidRDefault="00310176" w:rsidP="00310176">
      <w:pPr>
        <w:tabs>
          <w:tab w:val="left" w:pos="5841"/>
        </w:tabs>
      </w:pPr>
      <w:r>
        <w:t>DESIRABLE</w:t>
      </w:r>
    </w:p>
    <w:p w14:paraId="13558058" w14:textId="3F13C045" w:rsidR="006F0F95" w:rsidRPr="00A437A3" w:rsidRDefault="00550B83" w:rsidP="00920B5F">
      <w:pPr>
        <w:pStyle w:val="ListParagraph"/>
        <w:numPr>
          <w:ilvl w:val="0"/>
          <w:numId w:val="9"/>
        </w:numPr>
        <w:tabs>
          <w:tab w:val="left" w:pos="5841"/>
        </w:tabs>
        <w:ind w:left="567"/>
      </w:pPr>
      <w:r w:rsidRPr="00550B83">
        <w:rPr>
          <w:b/>
          <w:bCs/>
          <w:color w:val="auto"/>
        </w:rPr>
        <w:t>Knowledge</w:t>
      </w:r>
      <w:r w:rsidR="00310176" w:rsidRPr="00550B83">
        <w:rPr>
          <w:b/>
          <w:bCs/>
          <w:color w:val="auto"/>
        </w:rPr>
        <w:t xml:space="preserve"> </w:t>
      </w:r>
      <w:r w:rsidR="00310176" w:rsidRPr="007E79C9">
        <w:rPr>
          <w:b/>
          <w:bCs/>
          <w:color w:val="auto"/>
        </w:rPr>
        <w:t xml:space="preserve">of </w:t>
      </w:r>
      <w:r w:rsidR="006F0F95" w:rsidRPr="007E79C9">
        <w:rPr>
          <w:b/>
          <w:bCs/>
          <w:color w:val="auto"/>
        </w:rPr>
        <w:t>AI</w:t>
      </w:r>
      <w:r w:rsidR="00310176">
        <w:rPr>
          <w:color w:val="auto"/>
        </w:rPr>
        <w:t xml:space="preserve"> technology</w:t>
      </w:r>
      <w:r>
        <w:rPr>
          <w:color w:val="auto"/>
        </w:rPr>
        <w:t>, policy</w:t>
      </w:r>
      <w:r w:rsidR="00310176">
        <w:rPr>
          <w:color w:val="auto"/>
        </w:rPr>
        <w:t xml:space="preserve"> or regulation</w:t>
      </w:r>
    </w:p>
    <w:p w14:paraId="003BC479" w14:textId="77777777" w:rsidR="00A437A3" w:rsidRDefault="00A437A3" w:rsidP="00A437A3">
      <w:pPr>
        <w:tabs>
          <w:tab w:val="left" w:pos="5841"/>
        </w:tabs>
      </w:pPr>
    </w:p>
    <w:p w14:paraId="268B2915" w14:textId="172A6BDE" w:rsidR="00631D31" w:rsidRPr="00D007E3" w:rsidRDefault="00394896" w:rsidP="00C45F38">
      <w:r w:rsidRPr="00070651">
        <w:t xml:space="preserve">You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0E23E1">
      <w:headerReference w:type="default" r:id="rId11"/>
      <w:footerReference w:type="even" r:id="rId12"/>
      <w:footerReference w:type="default" r:id="rId13"/>
      <w:headerReference w:type="first" r:id="rId14"/>
      <w:footerReference w:type="first" r:id="rId15"/>
      <w:pgSz w:w="11906" w:h="16838"/>
      <w:pgMar w:top="1832"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9D9E" w14:textId="77777777" w:rsidR="00196F90" w:rsidRDefault="00196F90" w:rsidP="00756536">
      <w:pPr>
        <w:spacing w:after="0" w:line="240" w:lineRule="auto"/>
      </w:pPr>
      <w:r>
        <w:separator/>
      </w:r>
    </w:p>
  </w:endnote>
  <w:endnote w:type="continuationSeparator" w:id="0">
    <w:p w14:paraId="5CF1E38F" w14:textId="77777777" w:rsidR="00196F90" w:rsidRDefault="00196F90"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D292" w14:textId="77777777" w:rsidR="00196F90" w:rsidRDefault="00196F90" w:rsidP="00756536">
      <w:pPr>
        <w:spacing w:after="0" w:line="240" w:lineRule="auto"/>
      </w:pPr>
      <w:r>
        <w:separator/>
      </w:r>
    </w:p>
  </w:footnote>
  <w:footnote w:type="continuationSeparator" w:id="0">
    <w:p w14:paraId="47FAFC60" w14:textId="77777777" w:rsidR="00196F90" w:rsidRDefault="00196F90"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4457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07143251"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5"/>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2"/>
  </w:num>
  <w:num w:numId="5" w16cid:durableId="165638337">
    <w:abstractNumId w:val="9"/>
  </w:num>
  <w:num w:numId="6" w16cid:durableId="1123695853">
    <w:abstractNumId w:val="8"/>
  </w:num>
  <w:num w:numId="7" w16cid:durableId="1581137968">
    <w:abstractNumId w:val="2"/>
  </w:num>
  <w:num w:numId="8" w16cid:durableId="210381380">
    <w:abstractNumId w:val="4"/>
  </w:num>
  <w:num w:numId="9" w16cid:durableId="1667249357">
    <w:abstractNumId w:val="16"/>
  </w:num>
  <w:num w:numId="10" w16cid:durableId="1636334645">
    <w:abstractNumId w:val="11"/>
  </w:num>
  <w:num w:numId="11" w16cid:durableId="1816409002">
    <w:abstractNumId w:val="6"/>
  </w:num>
  <w:num w:numId="12" w16cid:durableId="1771470451">
    <w:abstractNumId w:val="7"/>
  </w:num>
  <w:num w:numId="13" w16cid:durableId="2042582278">
    <w:abstractNumId w:val="15"/>
  </w:num>
  <w:num w:numId="14" w16cid:durableId="301085470">
    <w:abstractNumId w:val="13"/>
  </w:num>
  <w:num w:numId="15" w16cid:durableId="24185399">
    <w:abstractNumId w:val="1"/>
  </w:num>
  <w:num w:numId="16" w16cid:durableId="169490687">
    <w:abstractNumId w:val="10"/>
  </w:num>
  <w:num w:numId="17" w16cid:durableId="629700953">
    <w:abstractNumId w:val="0"/>
  </w:num>
  <w:num w:numId="18" w16cid:durableId="1341004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47E98"/>
    <w:rsid w:val="00051CBF"/>
    <w:rsid w:val="0006478A"/>
    <w:rsid w:val="00070651"/>
    <w:rsid w:val="00083B4F"/>
    <w:rsid w:val="000A6FA1"/>
    <w:rsid w:val="000D0F48"/>
    <w:rsid w:val="000E23E1"/>
    <w:rsid w:val="00103C9E"/>
    <w:rsid w:val="00115196"/>
    <w:rsid w:val="00132369"/>
    <w:rsid w:val="001341B6"/>
    <w:rsid w:val="00145E44"/>
    <w:rsid w:val="001744F5"/>
    <w:rsid w:val="00196F90"/>
    <w:rsid w:val="001A50FB"/>
    <w:rsid w:val="001B27CF"/>
    <w:rsid w:val="001B52F9"/>
    <w:rsid w:val="001B7A87"/>
    <w:rsid w:val="001B7CD1"/>
    <w:rsid w:val="001F2E81"/>
    <w:rsid w:val="002149E3"/>
    <w:rsid w:val="002156DB"/>
    <w:rsid w:val="00246EF2"/>
    <w:rsid w:val="0024718E"/>
    <w:rsid w:val="00260B8D"/>
    <w:rsid w:val="002656BC"/>
    <w:rsid w:val="002760E9"/>
    <w:rsid w:val="00280169"/>
    <w:rsid w:val="00283EB7"/>
    <w:rsid w:val="002843C7"/>
    <w:rsid w:val="0028496D"/>
    <w:rsid w:val="00285377"/>
    <w:rsid w:val="002874CE"/>
    <w:rsid w:val="002921CE"/>
    <w:rsid w:val="002937C1"/>
    <w:rsid w:val="002956EB"/>
    <w:rsid w:val="002B657B"/>
    <w:rsid w:val="002D3E24"/>
    <w:rsid w:val="002F64E9"/>
    <w:rsid w:val="00300C8A"/>
    <w:rsid w:val="0030375D"/>
    <w:rsid w:val="00310176"/>
    <w:rsid w:val="003148DB"/>
    <w:rsid w:val="0033476B"/>
    <w:rsid w:val="003522C2"/>
    <w:rsid w:val="0036514A"/>
    <w:rsid w:val="00394896"/>
    <w:rsid w:val="003A12FE"/>
    <w:rsid w:val="003A787A"/>
    <w:rsid w:val="003C1C26"/>
    <w:rsid w:val="003E2F5E"/>
    <w:rsid w:val="003E4712"/>
    <w:rsid w:val="00422282"/>
    <w:rsid w:val="00430199"/>
    <w:rsid w:val="00433A20"/>
    <w:rsid w:val="00462800"/>
    <w:rsid w:val="00471F7F"/>
    <w:rsid w:val="00477E21"/>
    <w:rsid w:val="00497F38"/>
    <w:rsid w:val="004A0391"/>
    <w:rsid w:val="004A3655"/>
    <w:rsid w:val="004A4EC3"/>
    <w:rsid w:val="004B2309"/>
    <w:rsid w:val="004C7E95"/>
    <w:rsid w:val="004E000D"/>
    <w:rsid w:val="004E1073"/>
    <w:rsid w:val="004E1FA2"/>
    <w:rsid w:val="004E25BF"/>
    <w:rsid w:val="004F457E"/>
    <w:rsid w:val="004F4BFD"/>
    <w:rsid w:val="00520AE2"/>
    <w:rsid w:val="005257D4"/>
    <w:rsid w:val="00525962"/>
    <w:rsid w:val="00536F4B"/>
    <w:rsid w:val="00550B83"/>
    <w:rsid w:val="0057229A"/>
    <w:rsid w:val="005A2701"/>
    <w:rsid w:val="005B594B"/>
    <w:rsid w:val="005D7CAA"/>
    <w:rsid w:val="005E2416"/>
    <w:rsid w:val="005F483B"/>
    <w:rsid w:val="00601500"/>
    <w:rsid w:val="00631D31"/>
    <w:rsid w:val="00647E4B"/>
    <w:rsid w:val="00650548"/>
    <w:rsid w:val="006513FB"/>
    <w:rsid w:val="00663598"/>
    <w:rsid w:val="00663B85"/>
    <w:rsid w:val="0068201A"/>
    <w:rsid w:val="006938A9"/>
    <w:rsid w:val="006C1C4D"/>
    <w:rsid w:val="006D03B1"/>
    <w:rsid w:val="006E743E"/>
    <w:rsid w:val="006F0F95"/>
    <w:rsid w:val="006F17A8"/>
    <w:rsid w:val="00710CDA"/>
    <w:rsid w:val="00721C5E"/>
    <w:rsid w:val="00727985"/>
    <w:rsid w:val="00733555"/>
    <w:rsid w:val="007421AD"/>
    <w:rsid w:val="00746389"/>
    <w:rsid w:val="00756536"/>
    <w:rsid w:val="0076715E"/>
    <w:rsid w:val="007734E6"/>
    <w:rsid w:val="00776B62"/>
    <w:rsid w:val="0078067E"/>
    <w:rsid w:val="007A1F18"/>
    <w:rsid w:val="007B2076"/>
    <w:rsid w:val="007D5860"/>
    <w:rsid w:val="007E79C9"/>
    <w:rsid w:val="007E7FB0"/>
    <w:rsid w:val="007F623E"/>
    <w:rsid w:val="00806C9C"/>
    <w:rsid w:val="00825C94"/>
    <w:rsid w:val="0084252E"/>
    <w:rsid w:val="008531F0"/>
    <w:rsid w:val="008705B5"/>
    <w:rsid w:val="00873238"/>
    <w:rsid w:val="00892424"/>
    <w:rsid w:val="008A3F8E"/>
    <w:rsid w:val="008C5302"/>
    <w:rsid w:val="008D1625"/>
    <w:rsid w:val="008E0484"/>
    <w:rsid w:val="009075E2"/>
    <w:rsid w:val="00907F35"/>
    <w:rsid w:val="00960C3D"/>
    <w:rsid w:val="00971722"/>
    <w:rsid w:val="009C0ED6"/>
    <w:rsid w:val="009C705A"/>
    <w:rsid w:val="009D72A9"/>
    <w:rsid w:val="00A00DF9"/>
    <w:rsid w:val="00A2480E"/>
    <w:rsid w:val="00A274B9"/>
    <w:rsid w:val="00A346FA"/>
    <w:rsid w:val="00A40911"/>
    <w:rsid w:val="00A437A3"/>
    <w:rsid w:val="00A518E1"/>
    <w:rsid w:val="00A72186"/>
    <w:rsid w:val="00A86D4C"/>
    <w:rsid w:val="00A939CA"/>
    <w:rsid w:val="00A9655F"/>
    <w:rsid w:val="00AA416A"/>
    <w:rsid w:val="00AA4641"/>
    <w:rsid w:val="00AB5CEE"/>
    <w:rsid w:val="00AC1430"/>
    <w:rsid w:val="00AC73F2"/>
    <w:rsid w:val="00AE1B75"/>
    <w:rsid w:val="00B1554C"/>
    <w:rsid w:val="00B27B1E"/>
    <w:rsid w:val="00B32B52"/>
    <w:rsid w:val="00B646FB"/>
    <w:rsid w:val="00BB541C"/>
    <w:rsid w:val="00BC5C3F"/>
    <w:rsid w:val="00BD1B8C"/>
    <w:rsid w:val="00BF1C51"/>
    <w:rsid w:val="00C12F9A"/>
    <w:rsid w:val="00C13D4D"/>
    <w:rsid w:val="00C15B56"/>
    <w:rsid w:val="00C201F1"/>
    <w:rsid w:val="00C26E45"/>
    <w:rsid w:val="00C45F38"/>
    <w:rsid w:val="00C47631"/>
    <w:rsid w:val="00C47752"/>
    <w:rsid w:val="00C639AF"/>
    <w:rsid w:val="00C70096"/>
    <w:rsid w:val="00CA19C9"/>
    <w:rsid w:val="00CA38A5"/>
    <w:rsid w:val="00CB3F02"/>
    <w:rsid w:val="00CD00BF"/>
    <w:rsid w:val="00CD0B02"/>
    <w:rsid w:val="00D007E3"/>
    <w:rsid w:val="00D02FCA"/>
    <w:rsid w:val="00D173A8"/>
    <w:rsid w:val="00D2368C"/>
    <w:rsid w:val="00D36BCC"/>
    <w:rsid w:val="00D718AA"/>
    <w:rsid w:val="00D71E76"/>
    <w:rsid w:val="00D732A5"/>
    <w:rsid w:val="00D7570D"/>
    <w:rsid w:val="00D801DC"/>
    <w:rsid w:val="00DF4B7C"/>
    <w:rsid w:val="00DF795C"/>
    <w:rsid w:val="00DF7BA5"/>
    <w:rsid w:val="00E02BA3"/>
    <w:rsid w:val="00E043B9"/>
    <w:rsid w:val="00E14F0F"/>
    <w:rsid w:val="00E15FA5"/>
    <w:rsid w:val="00E23326"/>
    <w:rsid w:val="00E4641B"/>
    <w:rsid w:val="00E527BB"/>
    <w:rsid w:val="00E528A2"/>
    <w:rsid w:val="00E61CE6"/>
    <w:rsid w:val="00EA4560"/>
    <w:rsid w:val="00EC1FCA"/>
    <w:rsid w:val="00EC7340"/>
    <w:rsid w:val="00ED18BE"/>
    <w:rsid w:val="00ED68B9"/>
    <w:rsid w:val="00ED7D74"/>
    <w:rsid w:val="00EE13A1"/>
    <w:rsid w:val="00EF2F5D"/>
    <w:rsid w:val="00F02587"/>
    <w:rsid w:val="00F12840"/>
    <w:rsid w:val="00F156D2"/>
    <w:rsid w:val="00F167A5"/>
    <w:rsid w:val="00F30ABE"/>
    <w:rsid w:val="00F51C71"/>
    <w:rsid w:val="00F95B4C"/>
    <w:rsid w:val="00FA1359"/>
    <w:rsid w:val="00FA7287"/>
    <w:rsid w:val="00FB2D81"/>
    <w:rsid w:val="00FD2E9B"/>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13099">
      <w:bodyDiv w:val="1"/>
      <w:marLeft w:val="0"/>
      <w:marRight w:val="0"/>
      <w:marTop w:val="0"/>
      <w:marBottom w:val="0"/>
      <w:divBdr>
        <w:top w:val="none" w:sz="0" w:space="0" w:color="auto"/>
        <w:left w:val="none" w:sz="0" w:space="0" w:color="auto"/>
        <w:bottom w:val="none" w:sz="0" w:space="0" w:color="auto"/>
        <w:right w:val="none" w:sz="0" w:space="0" w:color="auto"/>
      </w:divBdr>
    </w:div>
    <w:div w:id="187573202">
      <w:bodyDiv w:val="1"/>
      <w:marLeft w:val="0"/>
      <w:marRight w:val="0"/>
      <w:marTop w:val="0"/>
      <w:marBottom w:val="0"/>
      <w:divBdr>
        <w:top w:val="none" w:sz="0" w:space="0" w:color="auto"/>
        <w:left w:val="none" w:sz="0" w:space="0" w:color="auto"/>
        <w:bottom w:val="none" w:sz="0" w:space="0" w:color="auto"/>
        <w:right w:val="none" w:sz="0" w:space="0" w:color="auto"/>
      </w:divBdr>
    </w:div>
    <w:div w:id="192764367">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2.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3.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Abadi Ghadim, Sophia</cp:lastModifiedBy>
  <cp:revision>2</cp:revision>
  <cp:lastPrinted>2024-03-14T05:17:00Z</cp:lastPrinted>
  <dcterms:created xsi:type="dcterms:W3CDTF">2025-06-20T02:47:00Z</dcterms:created>
  <dcterms:modified xsi:type="dcterms:W3CDTF">2025-06-20T02:47:00Z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NewReviewCycle">
    <vt:lpwstr/>
  </property>
  <property fmtid="{D5CDD505-2E9C-101B-9397-08002B2CF9AE}" pid="10" name="ContentTypeId">
    <vt:lpwstr>0x01010070D56267112CDC4FB0D8582F58FF7CE1</vt:lpwstr>
  </property>
  <property fmtid="{D5CDD505-2E9C-101B-9397-08002B2CF9AE}" pid="11" name="_AdHocReviewCycleID">
    <vt:i4>1208738079</vt:i4>
  </property>
  <property fmtid="{D5CDD505-2E9C-101B-9397-08002B2CF9AE}" pid="12" name="_EmailSubject">
    <vt:lpwstr>DGov: Filling a vacancy planning  - DPC24040, Policy Officer - Response from People and Payroll Services [SR-0029270]</vt:lpwstr>
  </property>
  <property fmtid="{D5CDD505-2E9C-101B-9397-08002B2CF9AE}" pid="13" name="_AuthorEmail">
    <vt:lpwstr>Maryam.Reyhani@dpc.wa.gov.au</vt:lpwstr>
  </property>
  <property fmtid="{D5CDD505-2E9C-101B-9397-08002B2CF9AE}" pid="14" name="_AuthorEmailDisplayName">
    <vt:lpwstr>Reyhani, Maryam</vt:lpwstr>
  </property>
  <property fmtid="{D5CDD505-2E9C-101B-9397-08002B2CF9AE}" pid="15" name="_PreviousAdHocReviewCycleID">
    <vt:i4>269876445</vt:i4>
  </property>
  <property fmtid="{D5CDD505-2E9C-101B-9397-08002B2CF9AE}" pid="16" name="_ReviewingToolsShownOnce">
    <vt:lpwstr/>
  </property>
</Properties>
</file>