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0CF44" w14:textId="4CCB4932" w:rsidR="004A4EC3" w:rsidRPr="00C14680" w:rsidRDefault="001134DD" w:rsidP="00791921">
      <w:pPr>
        <w:spacing w:before="240" w:line="360" w:lineRule="auto"/>
        <w:rPr>
          <w:rFonts w:eastAsiaTheme="majorEastAsia" w:cs="Times New Roman (Headings CS)"/>
          <w:b/>
          <w:color w:val="CC5733"/>
          <w:sz w:val="20"/>
          <w:szCs w:val="20"/>
        </w:rPr>
      </w:pPr>
      <w:r w:rsidRPr="001134DD">
        <w:rPr>
          <w:rFonts w:eastAsiaTheme="majorEastAsia" w:cs="Times New Roman (Headings CS)"/>
          <w:b/>
          <w:color w:val="CC5733"/>
          <w:sz w:val="28"/>
          <w:szCs w:val="28"/>
        </w:rPr>
        <w:t>Senior Workplace Health and Safety Consultant</w:t>
      </w:r>
      <w:r w:rsidR="004A4EC3" w:rsidRPr="001134DD">
        <w:rPr>
          <w:rFonts w:eastAsiaTheme="majorEastAsia" w:cs="Times New Roman (Headings CS)"/>
          <w:b/>
          <w:color w:val="CC5733"/>
          <w:sz w:val="28"/>
          <w:szCs w:val="28"/>
        </w:rPr>
        <w:t xml:space="preserve">, Level </w:t>
      </w:r>
      <w:r w:rsidRPr="001134DD">
        <w:rPr>
          <w:rFonts w:eastAsiaTheme="majorEastAsia" w:cs="Times New Roman (Headings CS)"/>
          <w:b/>
          <w:color w:val="CC5733"/>
          <w:sz w:val="28"/>
          <w:szCs w:val="28"/>
        </w:rPr>
        <w:t xml:space="preserve">6 </w:t>
      </w:r>
      <w:r w:rsidR="004A4EC3" w:rsidRPr="001134DD">
        <w:rPr>
          <w:rFonts w:eastAsiaTheme="majorEastAsia" w:cs="Times New Roman (Headings CS)"/>
          <w:b/>
          <w:color w:val="CC5733"/>
          <w:sz w:val="28"/>
          <w:szCs w:val="28"/>
        </w:rPr>
        <w:t>(</w:t>
      </w:r>
      <w:r w:rsidRPr="001134DD">
        <w:rPr>
          <w:rFonts w:eastAsiaTheme="majorEastAsia" w:cs="Times New Roman (Headings CS)"/>
          <w:b/>
          <w:color w:val="CC5733"/>
          <w:sz w:val="28"/>
          <w:szCs w:val="28"/>
        </w:rPr>
        <w:t>DPC24007</w:t>
      </w:r>
      <w:r w:rsidR="004A4EC3" w:rsidRPr="001134DD">
        <w:rPr>
          <w:rFonts w:eastAsiaTheme="majorEastAsia" w:cs="Times New Roman (Headings CS)"/>
          <w:b/>
          <w:color w:val="CC5733"/>
          <w:sz w:val="28"/>
          <w:szCs w:val="28"/>
        </w:rPr>
        <w:t>)</w:t>
      </w:r>
    </w:p>
    <w:tbl>
      <w:tblPr>
        <w:tblStyle w:val="TableGrid"/>
        <w:tblpPr w:leftFromText="180" w:rightFromText="180" w:vertAnchor="text" w:tblpY="1"/>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552"/>
        <w:gridCol w:w="2747"/>
        <w:gridCol w:w="1647"/>
        <w:gridCol w:w="2410"/>
      </w:tblGrid>
      <w:tr w:rsidR="004A4EC3" w:rsidRPr="001B78F5" w14:paraId="361BAA74" w14:textId="77777777" w:rsidTr="009514B1">
        <w:trPr>
          <w:trHeight w:val="465"/>
        </w:trPr>
        <w:tc>
          <w:tcPr>
            <w:tcW w:w="2552" w:type="dxa"/>
          </w:tcPr>
          <w:p w14:paraId="77A0CA35" w14:textId="35EFD895" w:rsidR="004A4EC3" w:rsidRPr="001B78F5" w:rsidRDefault="009514B1" w:rsidP="004A4EC3">
            <w:pPr>
              <w:pStyle w:val="Formfields"/>
              <w:framePr w:hSpace="0" w:wrap="auto" w:vAnchor="margin" w:yAlign="inline"/>
              <w:suppressOverlap w:val="0"/>
              <w:rPr>
                <w:color w:val="000000" w:themeColor="text1"/>
                <w:sz w:val="23"/>
                <w:szCs w:val="23"/>
              </w:rPr>
            </w:pPr>
            <w:r w:rsidRPr="001B78F5">
              <w:rPr>
                <w:sz w:val="23"/>
                <w:szCs w:val="23"/>
              </w:rPr>
              <w:t>Division/</w:t>
            </w:r>
            <w:r w:rsidR="004A4EC3" w:rsidRPr="001B78F5">
              <w:rPr>
                <w:sz w:val="23"/>
                <w:szCs w:val="23"/>
              </w:rPr>
              <w:t xml:space="preserve">Directorate: </w:t>
            </w:r>
          </w:p>
        </w:tc>
        <w:tc>
          <w:tcPr>
            <w:tcW w:w="2747" w:type="dxa"/>
          </w:tcPr>
          <w:p w14:paraId="6E7A5B79" w14:textId="27466FCB" w:rsidR="004A4EC3" w:rsidRPr="001B78F5" w:rsidRDefault="001134DD" w:rsidP="004A4EC3">
            <w:pPr>
              <w:rPr>
                <w:sz w:val="23"/>
                <w:szCs w:val="23"/>
              </w:rPr>
            </w:pPr>
            <w:r w:rsidRPr="001B78F5">
              <w:rPr>
                <w:sz w:val="23"/>
                <w:szCs w:val="23"/>
              </w:rPr>
              <w:t>People Services</w:t>
            </w:r>
          </w:p>
        </w:tc>
        <w:tc>
          <w:tcPr>
            <w:tcW w:w="1647" w:type="dxa"/>
          </w:tcPr>
          <w:p w14:paraId="67141356" w14:textId="77777777" w:rsidR="004A4EC3" w:rsidRPr="001B78F5" w:rsidRDefault="004A4EC3" w:rsidP="004A4EC3">
            <w:pPr>
              <w:pStyle w:val="Formfields"/>
              <w:framePr w:hSpace="0" w:wrap="auto" w:vAnchor="margin" w:yAlign="inline"/>
              <w:suppressOverlap w:val="0"/>
              <w:rPr>
                <w:sz w:val="23"/>
                <w:szCs w:val="23"/>
              </w:rPr>
            </w:pPr>
            <w:r w:rsidRPr="001B78F5">
              <w:rPr>
                <w:sz w:val="23"/>
                <w:szCs w:val="23"/>
              </w:rPr>
              <w:t xml:space="preserve">Reports to: </w:t>
            </w:r>
          </w:p>
        </w:tc>
        <w:tc>
          <w:tcPr>
            <w:tcW w:w="2410" w:type="dxa"/>
          </w:tcPr>
          <w:p w14:paraId="0836B71E" w14:textId="45DF09E6" w:rsidR="004A4EC3" w:rsidRPr="001B78F5" w:rsidRDefault="001134DD" w:rsidP="004A4EC3">
            <w:pPr>
              <w:rPr>
                <w:sz w:val="23"/>
                <w:szCs w:val="23"/>
              </w:rPr>
            </w:pPr>
            <w:r w:rsidRPr="001B78F5">
              <w:rPr>
                <w:sz w:val="23"/>
                <w:szCs w:val="23"/>
              </w:rPr>
              <w:t>Manager</w:t>
            </w:r>
          </w:p>
        </w:tc>
      </w:tr>
      <w:tr w:rsidR="004A4EC3" w:rsidRPr="001B78F5" w14:paraId="77F9C586" w14:textId="77777777" w:rsidTr="009514B1">
        <w:trPr>
          <w:trHeight w:val="85"/>
        </w:trPr>
        <w:tc>
          <w:tcPr>
            <w:tcW w:w="2552" w:type="dxa"/>
          </w:tcPr>
          <w:p w14:paraId="5E66F297" w14:textId="1455B585" w:rsidR="004A4EC3" w:rsidRPr="001B78F5" w:rsidRDefault="004A4EC3" w:rsidP="004A4EC3">
            <w:pPr>
              <w:pStyle w:val="Default"/>
              <w:rPr>
                <w:color w:val="000000" w:themeColor="text1"/>
                <w:sz w:val="23"/>
                <w:szCs w:val="23"/>
              </w:rPr>
            </w:pPr>
            <w:r w:rsidRPr="001B78F5">
              <w:rPr>
                <w:color w:val="CC5733"/>
                <w:sz w:val="23"/>
                <w:szCs w:val="23"/>
              </w:rPr>
              <w:t xml:space="preserve">Branch/Section: </w:t>
            </w:r>
          </w:p>
        </w:tc>
        <w:tc>
          <w:tcPr>
            <w:tcW w:w="2747" w:type="dxa"/>
          </w:tcPr>
          <w:p w14:paraId="2E756B84" w14:textId="3CD289C9" w:rsidR="004A4EC3" w:rsidRPr="001B78F5" w:rsidRDefault="001134DD" w:rsidP="004A4EC3">
            <w:pPr>
              <w:rPr>
                <w:sz w:val="23"/>
                <w:szCs w:val="23"/>
              </w:rPr>
            </w:pPr>
            <w:r w:rsidRPr="001B78F5">
              <w:rPr>
                <w:sz w:val="23"/>
                <w:szCs w:val="23"/>
              </w:rPr>
              <w:t>Organisational Development</w:t>
            </w:r>
          </w:p>
        </w:tc>
        <w:tc>
          <w:tcPr>
            <w:tcW w:w="1647" w:type="dxa"/>
          </w:tcPr>
          <w:p w14:paraId="69AA6691" w14:textId="77777777" w:rsidR="004A4EC3" w:rsidRPr="001B78F5" w:rsidRDefault="004A4EC3" w:rsidP="004A4EC3">
            <w:pPr>
              <w:pStyle w:val="Formfields"/>
              <w:framePr w:hSpace="0" w:wrap="auto" w:vAnchor="margin" w:yAlign="inline"/>
              <w:suppressOverlap w:val="0"/>
              <w:rPr>
                <w:sz w:val="23"/>
                <w:szCs w:val="23"/>
              </w:rPr>
            </w:pPr>
            <w:r w:rsidRPr="001B78F5">
              <w:rPr>
                <w:sz w:val="23"/>
                <w:szCs w:val="23"/>
              </w:rPr>
              <w:t xml:space="preserve">Supervises: </w:t>
            </w:r>
          </w:p>
        </w:tc>
        <w:tc>
          <w:tcPr>
            <w:tcW w:w="2410" w:type="dxa"/>
          </w:tcPr>
          <w:p w14:paraId="492DAAAF" w14:textId="7286E23F" w:rsidR="004A4EC3" w:rsidRPr="001B78F5" w:rsidRDefault="001134DD" w:rsidP="004A4EC3">
            <w:pPr>
              <w:rPr>
                <w:sz w:val="23"/>
                <w:szCs w:val="23"/>
              </w:rPr>
            </w:pPr>
            <w:r w:rsidRPr="001B78F5">
              <w:rPr>
                <w:sz w:val="23"/>
                <w:szCs w:val="23"/>
              </w:rPr>
              <w:t>1 FTE</w:t>
            </w:r>
          </w:p>
        </w:tc>
      </w:tr>
      <w:tr w:rsidR="004A4EC3" w:rsidRPr="001B78F5" w14:paraId="6BBCF80B" w14:textId="77777777" w:rsidTr="009514B1">
        <w:trPr>
          <w:trHeight w:val="434"/>
        </w:trPr>
        <w:tc>
          <w:tcPr>
            <w:tcW w:w="2552" w:type="dxa"/>
          </w:tcPr>
          <w:p w14:paraId="441BB099" w14:textId="16118058" w:rsidR="004A4EC3" w:rsidRPr="001B78F5" w:rsidRDefault="004A4EC3" w:rsidP="004A4EC3">
            <w:pPr>
              <w:pStyle w:val="Default"/>
              <w:rPr>
                <w:color w:val="000000" w:themeColor="text1"/>
                <w:sz w:val="23"/>
                <w:szCs w:val="23"/>
              </w:rPr>
            </w:pPr>
            <w:r w:rsidRPr="001B78F5">
              <w:rPr>
                <w:color w:val="CC5733"/>
                <w:sz w:val="23"/>
                <w:szCs w:val="23"/>
              </w:rPr>
              <w:t xml:space="preserve">Location: </w:t>
            </w:r>
          </w:p>
        </w:tc>
        <w:tc>
          <w:tcPr>
            <w:tcW w:w="2747" w:type="dxa"/>
          </w:tcPr>
          <w:p w14:paraId="7552AE47" w14:textId="775F0025" w:rsidR="004A4EC3" w:rsidRPr="001B78F5" w:rsidRDefault="004E2FC6" w:rsidP="004A4EC3">
            <w:pPr>
              <w:rPr>
                <w:sz w:val="23"/>
                <w:szCs w:val="23"/>
              </w:rPr>
            </w:pPr>
            <w:r w:rsidRPr="001B78F5">
              <w:rPr>
                <w:sz w:val="23"/>
                <w:szCs w:val="23"/>
              </w:rPr>
              <w:t xml:space="preserve">West Perth </w:t>
            </w:r>
          </w:p>
        </w:tc>
        <w:tc>
          <w:tcPr>
            <w:tcW w:w="1647" w:type="dxa"/>
          </w:tcPr>
          <w:p w14:paraId="7FF4CBAE" w14:textId="0CC22394" w:rsidR="004A4EC3" w:rsidRPr="001B78F5" w:rsidRDefault="004A4EC3" w:rsidP="004A4EC3">
            <w:pPr>
              <w:pStyle w:val="Default"/>
              <w:rPr>
                <w:color w:val="CC5733"/>
                <w:sz w:val="23"/>
                <w:szCs w:val="23"/>
              </w:rPr>
            </w:pPr>
          </w:p>
        </w:tc>
        <w:tc>
          <w:tcPr>
            <w:tcW w:w="2410" w:type="dxa"/>
          </w:tcPr>
          <w:p w14:paraId="6D36D602" w14:textId="0EDB96F9" w:rsidR="004A4EC3" w:rsidRPr="001B78F5" w:rsidRDefault="004A4EC3" w:rsidP="004A4EC3">
            <w:pPr>
              <w:rPr>
                <w:sz w:val="23"/>
                <w:szCs w:val="23"/>
              </w:rPr>
            </w:pPr>
          </w:p>
        </w:tc>
      </w:tr>
    </w:tbl>
    <w:p w14:paraId="0659CC79" w14:textId="4FE04358" w:rsidR="00756536" w:rsidRPr="001B78F5" w:rsidRDefault="004A4EC3" w:rsidP="00791921">
      <w:pPr>
        <w:pStyle w:val="Heading1"/>
        <w:spacing w:before="240"/>
        <w:rPr>
          <w:sz w:val="23"/>
          <w:szCs w:val="23"/>
        </w:rPr>
      </w:pPr>
      <w:r w:rsidRPr="001B78F5">
        <w:rPr>
          <w:sz w:val="23"/>
          <w:szCs w:val="23"/>
        </w:rPr>
        <w:t>Our vision is to lead a connected government that delivers a brighter future for Western Australians</w:t>
      </w:r>
      <w:r w:rsidR="005257D4" w:rsidRPr="001B78F5">
        <w:rPr>
          <w:sz w:val="23"/>
          <w:szCs w:val="23"/>
        </w:rPr>
        <w:t xml:space="preserve">. </w:t>
      </w:r>
    </w:p>
    <w:p w14:paraId="064B12A5" w14:textId="4BCEFCFE" w:rsidR="00756536" w:rsidRPr="001B78F5" w:rsidRDefault="00756536" w:rsidP="004A3655">
      <w:pPr>
        <w:spacing w:line="240" w:lineRule="auto"/>
        <w:rPr>
          <w:sz w:val="23"/>
          <w:szCs w:val="23"/>
        </w:rPr>
      </w:pPr>
      <w:r w:rsidRPr="001B78F5">
        <w:rPr>
          <w:sz w:val="23"/>
          <w:szCs w:val="23"/>
        </w:rPr>
        <w:t>The Department of the Premier and Cabinet (DPC) leads the public sector in providing whole-of-Government advice and support to the Premier and Cabinet in their service of the WA community.</w:t>
      </w:r>
      <w:r w:rsidR="00044FF3" w:rsidRPr="001B78F5">
        <w:rPr>
          <w:sz w:val="23"/>
          <w:szCs w:val="23"/>
        </w:rPr>
        <w:t xml:space="preserve"> </w:t>
      </w:r>
    </w:p>
    <w:p w14:paraId="1AEF4CDD" w14:textId="3AB0B98D" w:rsidR="00FE0D47" w:rsidRPr="001B78F5" w:rsidRDefault="00FE0D47" w:rsidP="00FE0D47">
      <w:pPr>
        <w:spacing w:line="240" w:lineRule="auto"/>
        <w:rPr>
          <w:sz w:val="23"/>
          <w:szCs w:val="23"/>
        </w:rPr>
      </w:pPr>
      <w:r w:rsidRPr="001B78F5">
        <w:rPr>
          <w:sz w:val="23"/>
          <w:szCs w:val="23"/>
        </w:rPr>
        <w:t xml:space="preserve">Our areas of responsibility include Office of Digital Government, Intergovernmental Relations and Strategic Priorities, Aboriginal Engagement and Community Policy, Infrastructure, Economy and Environment and </w:t>
      </w:r>
      <w:r w:rsidR="00892424" w:rsidRPr="001B78F5">
        <w:rPr>
          <w:sz w:val="23"/>
          <w:szCs w:val="23"/>
        </w:rPr>
        <w:t>State Services</w:t>
      </w:r>
      <w:r w:rsidRPr="001B78F5">
        <w:rPr>
          <w:sz w:val="23"/>
          <w:szCs w:val="23"/>
        </w:rPr>
        <w:t>.</w:t>
      </w:r>
    </w:p>
    <w:p w14:paraId="692C6C49" w14:textId="71F38795" w:rsidR="003A787A" w:rsidRPr="001B78F5" w:rsidRDefault="00A00DF9" w:rsidP="004A3655">
      <w:pPr>
        <w:spacing w:line="240" w:lineRule="auto"/>
        <w:rPr>
          <w:rFonts w:ascii="Neue Haas Grotesk Text Pro" w:hAnsi="Neue Haas Grotesk Text Pro"/>
          <w:color w:val="000000" w:themeColor="text1"/>
          <w:sz w:val="23"/>
          <w:szCs w:val="23"/>
        </w:rPr>
      </w:pPr>
      <w:r w:rsidRPr="001B78F5">
        <w:rPr>
          <w:sz w:val="23"/>
          <w:szCs w:val="23"/>
        </w:rPr>
        <w:t>Join us and work in a role where you can make a real difference to the lives of children, families, individuals and communities throughout Western Australia.</w:t>
      </w:r>
      <w:bookmarkStart w:id="0" w:name="_Hlk125896025"/>
    </w:p>
    <w:p w14:paraId="5022EB32" w14:textId="3C4E53A4" w:rsidR="00477E21" w:rsidRPr="001B78F5" w:rsidRDefault="003522C2" w:rsidP="00791921">
      <w:pPr>
        <w:pStyle w:val="Heading1"/>
        <w:spacing w:before="240" w:after="240"/>
        <w:rPr>
          <w:sz w:val="23"/>
          <w:szCs w:val="23"/>
        </w:rPr>
      </w:pPr>
      <w:r w:rsidRPr="001B78F5">
        <w:rPr>
          <w:sz w:val="23"/>
          <w:szCs w:val="23"/>
        </w:rPr>
        <w:t xml:space="preserve">Our values, </w:t>
      </w:r>
      <w:r w:rsidRPr="001B78F5">
        <w:rPr>
          <w:i/>
          <w:iCs/>
          <w:sz w:val="23"/>
          <w:szCs w:val="23"/>
        </w:rPr>
        <w:t>Leadership, Connection and Impact</w:t>
      </w:r>
      <w:r w:rsidRPr="001B78F5">
        <w:rPr>
          <w:sz w:val="23"/>
          <w:szCs w:val="23"/>
        </w:rPr>
        <w:t xml:space="preserve">, underpin the way we work. </w:t>
      </w:r>
    </w:p>
    <w:bookmarkEnd w:id="0"/>
    <w:p w14:paraId="32E6AF87" w14:textId="77777777" w:rsidR="001134DD" w:rsidRPr="001B78F5" w:rsidRDefault="001134DD" w:rsidP="001134DD">
      <w:pPr>
        <w:rPr>
          <w:b/>
          <w:sz w:val="23"/>
          <w:szCs w:val="23"/>
        </w:rPr>
      </w:pPr>
      <w:r w:rsidRPr="001B78F5">
        <w:rPr>
          <w:sz w:val="23"/>
          <w:szCs w:val="23"/>
        </w:rPr>
        <w:t>The People Services directorate is multi-disciplinary and focuses on providing a wide range of services and support functions including Payroll; Human Resources; Organisational Development; Ministerial Support, Parliamentary Electorate Office support, People programs, projects and initiatives that support and enable the Department to improve outcomes for to DPC and our partners. The division operates at whole-of-agency level.</w:t>
      </w:r>
    </w:p>
    <w:p w14:paraId="3549C89D" w14:textId="0ED9CD9C" w:rsidR="001134DD" w:rsidRPr="001B78F5" w:rsidRDefault="001134DD" w:rsidP="001134DD">
      <w:pPr>
        <w:rPr>
          <w:sz w:val="23"/>
          <w:szCs w:val="23"/>
        </w:rPr>
      </w:pPr>
      <w:r w:rsidRPr="001B78F5">
        <w:rPr>
          <w:sz w:val="23"/>
          <w:szCs w:val="23"/>
        </w:rPr>
        <w:t xml:space="preserve">The Organisational Development (OD) Branch provides expertise and services in the following </w:t>
      </w:r>
      <w:proofErr w:type="gramStart"/>
      <w:r w:rsidRPr="001B78F5">
        <w:rPr>
          <w:sz w:val="23"/>
          <w:szCs w:val="23"/>
        </w:rPr>
        <w:t>areas;</w:t>
      </w:r>
      <w:proofErr w:type="gramEnd"/>
      <w:r w:rsidRPr="001B78F5">
        <w:rPr>
          <w:sz w:val="23"/>
          <w:szCs w:val="23"/>
        </w:rPr>
        <w:t xml:space="preserve"> Workforce Development, Workforce Planning and Workforce Health and Safety (WHS).</w:t>
      </w:r>
    </w:p>
    <w:p w14:paraId="7D1D0209" w14:textId="06F6534F" w:rsidR="00477E21" w:rsidRPr="001B78F5" w:rsidRDefault="00A00DF9" w:rsidP="00BE399E">
      <w:pPr>
        <w:pStyle w:val="Heading1"/>
        <w:spacing w:before="240"/>
        <w:rPr>
          <w:b w:val="0"/>
          <w:sz w:val="23"/>
          <w:szCs w:val="23"/>
        </w:rPr>
      </w:pPr>
      <w:r w:rsidRPr="001B78F5">
        <w:rPr>
          <w:sz w:val="23"/>
          <w:szCs w:val="23"/>
        </w:rPr>
        <w:t xml:space="preserve">About the </w:t>
      </w:r>
      <w:r w:rsidR="00756536" w:rsidRPr="001B78F5">
        <w:rPr>
          <w:sz w:val="23"/>
          <w:szCs w:val="23"/>
        </w:rPr>
        <w:t>Role</w:t>
      </w:r>
      <w:r w:rsidR="00C45F38" w:rsidRPr="001B78F5">
        <w:rPr>
          <w:sz w:val="23"/>
          <w:szCs w:val="23"/>
        </w:rPr>
        <w:t xml:space="preserve"> </w:t>
      </w:r>
      <w:r w:rsidR="004A4EC3" w:rsidRPr="001B78F5">
        <w:rPr>
          <w:sz w:val="23"/>
          <w:szCs w:val="23"/>
        </w:rPr>
        <w:t>and Responsibilities</w:t>
      </w:r>
    </w:p>
    <w:p w14:paraId="09B0DD97" w14:textId="52CD7F92" w:rsidR="001134DD" w:rsidRDefault="001134DD" w:rsidP="004A3655">
      <w:pPr>
        <w:rPr>
          <w:sz w:val="23"/>
          <w:szCs w:val="23"/>
        </w:rPr>
      </w:pPr>
      <w:r w:rsidRPr="001B78F5">
        <w:rPr>
          <w:sz w:val="23"/>
          <w:szCs w:val="23"/>
        </w:rPr>
        <w:t>This position is responsible for leading a section within the OD branch and for providing specialist advice in WHS. The position incumbent ensures that DPC meets its WHS, Workers’ Compensation and Injury Management obligations. It oversees WHS processes and documentation to ensure compliance with legislation, regulation and relevant codes. The position’s overall aim is to manage WHS risk and provide programs and initiatives to promote health and wellbeing in the workplace.</w:t>
      </w:r>
    </w:p>
    <w:p w14:paraId="35145FC0" w14:textId="77777777" w:rsidR="00791921" w:rsidRPr="001B78F5" w:rsidRDefault="00791921" w:rsidP="004A3655">
      <w:pPr>
        <w:rPr>
          <w:sz w:val="23"/>
          <w:szCs w:val="23"/>
        </w:rPr>
      </w:pPr>
    </w:p>
    <w:p w14:paraId="45CE761D" w14:textId="48464C13" w:rsidR="001134DD" w:rsidRPr="001134DD" w:rsidRDefault="001134DD" w:rsidP="001134DD">
      <w:pPr>
        <w:spacing w:after="120"/>
        <w:rPr>
          <w:b/>
          <w:bCs/>
          <w:sz w:val="23"/>
          <w:szCs w:val="23"/>
        </w:rPr>
      </w:pPr>
      <w:r w:rsidRPr="001B78F5">
        <w:rPr>
          <w:b/>
          <w:bCs/>
          <w:sz w:val="23"/>
          <w:szCs w:val="23"/>
        </w:rPr>
        <w:lastRenderedPageBreak/>
        <w:t>WHS Governance</w:t>
      </w:r>
    </w:p>
    <w:p w14:paraId="1C9608CF" w14:textId="4D739FB6" w:rsidR="001134DD" w:rsidRPr="001B78F5" w:rsidRDefault="001134DD" w:rsidP="00B46FBB">
      <w:pPr>
        <w:pStyle w:val="ListParagraph"/>
        <w:numPr>
          <w:ilvl w:val="0"/>
          <w:numId w:val="19"/>
        </w:numPr>
        <w:spacing w:after="80"/>
        <w:ind w:left="284" w:hanging="284"/>
        <w:rPr>
          <w:sz w:val="23"/>
          <w:szCs w:val="23"/>
        </w:rPr>
      </w:pPr>
      <w:r w:rsidRPr="001B78F5">
        <w:rPr>
          <w:sz w:val="23"/>
          <w:szCs w:val="23"/>
        </w:rPr>
        <w:t>Monitors and maintains compliance with legislative, regulatory and codes of practice as well as internal policies, procedures and registers.</w:t>
      </w:r>
    </w:p>
    <w:p w14:paraId="42DCB19C" w14:textId="2031DE86" w:rsidR="001134DD" w:rsidRPr="001B78F5" w:rsidRDefault="001134DD" w:rsidP="00B46FBB">
      <w:pPr>
        <w:pStyle w:val="ListParagraph"/>
        <w:numPr>
          <w:ilvl w:val="0"/>
          <w:numId w:val="19"/>
        </w:numPr>
        <w:spacing w:after="80"/>
        <w:ind w:left="284" w:hanging="284"/>
        <w:rPr>
          <w:sz w:val="23"/>
          <w:szCs w:val="23"/>
        </w:rPr>
      </w:pPr>
      <w:r w:rsidRPr="001B78F5">
        <w:rPr>
          <w:sz w:val="23"/>
          <w:szCs w:val="23"/>
        </w:rPr>
        <w:t>Coordinates WHS safety management system and action plan.</w:t>
      </w:r>
    </w:p>
    <w:p w14:paraId="2796814B" w14:textId="34326C5C" w:rsidR="001134DD" w:rsidRPr="001B78F5" w:rsidRDefault="001134DD" w:rsidP="00B46FBB">
      <w:pPr>
        <w:pStyle w:val="ListParagraph"/>
        <w:numPr>
          <w:ilvl w:val="0"/>
          <w:numId w:val="19"/>
        </w:numPr>
        <w:spacing w:after="80"/>
        <w:ind w:left="284" w:hanging="284"/>
        <w:rPr>
          <w:sz w:val="23"/>
          <w:szCs w:val="23"/>
        </w:rPr>
      </w:pPr>
      <w:r w:rsidRPr="001B78F5">
        <w:rPr>
          <w:sz w:val="23"/>
          <w:szCs w:val="23"/>
        </w:rPr>
        <w:t>Ensures WHS induction of new workers and refresher training for existing employees.</w:t>
      </w:r>
    </w:p>
    <w:p w14:paraId="53EAE8FF" w14:textId="0D73C94F" w:rsidR="001134DD" w:rsidRPr="001B78F5" w:rsidRDefault="001134DD" w:rsidP="00B46FBB">
      <w:pPr>
        <w:pStyle w:val="ListParagraph"/>
        <w:numPr>
          <w:ilvl w:val="0"/>
          <w:numId w:val="19"/>
        </w:numPr>
        <w:spacing w:after="80"/>
        <w:ind w:left="284" w:hanging="284"/>
        <w:rPr>
          <w:sz w:val="23"/>
          <w:szCs w:val="23"/>
        </w:rPr>
      </w:pPr>
      <w:r w:rsidRPr="001B78F5">
        <w:rPr>
          <w:sz w:val="23"/>
          <w:szCs w:val="23"/>
        </w:rPr>
        <w:t>Leads and guides the development of work health and safety guidelines such as policies and procedures to ensure compliance with relevant legislation and public sector requirements to meet strategic and operational requirements.</w:t>
      </w:r>
    </w:p>
    <w:p w14:paraId="79373853" w14:textId="1D091D84" w:rsidR="001134DD" w:rsidRPr="001B78F5" w:rsidRDefault="001134DD" w:rsidP="00B46FBB">
      <w:pPr>
        <w:pStyle w:val="ListParagraph"/>
        <w:numPr>
          <w:ilvl w:val="0"/>
          <w:numId w:val="19"/>
        </w:numPr>
        <w:spacing w:after="80"/>
        <w:ind w:left="284" w:hanging="284"/>
        <w:rPr>
          <w:sz w:val="23"/>
          <w:szCs w:val="23"/>
        </w:rPr>
      </w:pPr>
      <w:r w:rsidRPr="001B78F5">
        <w:rPr>
          <w:sz w:val="23"/>
          <w:szCs w:val="23"/>
        </w:rPr>
        <w:t>Undertakes risk management practices to manage the overall WHS risk for the Department.</w:t>
      </w:r>
    </w:p>
    <w:p w14:paraId="5678D218" w14:textId="01BE2481" w:rsidR="001134DD" w:rsidRPr="001B78F5" w:rsidRDefault="001134DD" w:rsidP="00B46FBB">
      <w:pPr>
        <w:pStyle w:val="ListParagraph"/>
        <w:numPr>
          <w:ilvl w:val="0"/>
          <w:numId w:val="19"/>
        </w:numPr>
        <w:spacing w:after="80"/>
        <w:ind w:left="284" w:hanging="284"/>
        <w:rPr>
          <w:sz w:val="23"/>
          <w:szCs w:val="23"/>
        </w:rPr>
      </w:pPr>
      <w:r w:rsidRPr="001B78F5">
        <w:rPr>
          <w:sz w:val="23"/>
          <w:szCs w:val="23"/>
        </w:rPr>
        <w:t>Initiates audits and ensures audit actions are closed on a timely manner.</w:t>
      </w:r>
    </w:p>
    <w:p w14:paraId="7420CBFD" w14:textId="2F579B4E" w:rsidR="001134DD" w:rsidRPr="001B78F5" w:rsidRDefault="001134DD" w:rsidP="00B46FBB">
      <w:pPr>
        <w:pStyle w:val="ListParagraph"/>
        <w:numPr>
          <w:ilvl w:val="0"/>
          <w:numId w:val="19"/>
        </w:numPr>
        <w:spacing w:after="240"/>
        <w:ind w:left="284" w:hanging="284"/>
        <w:rPr>
          <w:sz w:val="23"/>
          <w:szCs w:val="23"/>
        </w:rPr>
      </w:pPr>
      <w:r w:rsidRPr="001B78F5">
        <w:rPr>
          <w:sz w:val="23"/>
          <w:szCs w:val="23"/>
        </w:rPr>
        <w:t>Quality assures and/or drafts WHS reports for approval.</w:t>
      </w:r>
    </w:p>
    <w:p w14:paraId="293EB0FB" w14:textId="19EC9CFB" w:rsidR="001134DD" w:rsidRPr="001134DD" w:rsidRDefault="001134DD" w:rsidP="001134DD">
      <w:pPr>
        <w:spacing w:after="120"/>
        <w:rPr>
          <w:b/>
          <w:bCs/>
          <w:sz w:val="23"/>
          <w:szCs w:val="23"/>
        </w:rPr>
      </w:pPr>
      <w:r w:rsidRPr="001134DD">
        <w:rPr>
          <w:b/>
          <w:bCs/>
          <w:sz w:val="23"/>
          <w:szCs w:val="23"/>
        </w:rPr>
        <w:t xml:space="preserve">WHS </w:t>
      </w:r>
      <w:r w:rsidRPr="001B78F5">
        <w:rPr>
          <w:b/>
          <w:bCs/>
          <w:sz w:val="23"/>
          <w:szCs w:val="23"/>
        </w:rPr>
        <w:t>Management and Leadership</w:t>
      </w:r>
    </w:p>
    <w:p w14:paraId="651861A0" w14:textId="24996F8A" w:rsidR="001134DD" w:rsidRPr="001B78F5" w:rsidRDefault="001134DD" w:rsidP="00B46FBB">
      <w:pPr>
        <w:pStyle w:val="ListParagraph"/>
        <w:numPr>
          <w:ilvl w:val="0"/>
          <w:numId w:val="20"/>
        </w:numPr>
        <w:spacing w:after="80"/>
        <w:ind w:left="284" w:hanging="284"/>
        <w:rPr>
          <w:sz w:val="23"/>
          <w:szCs w:val="23"/>
        </w:rPr>
      </w:pPr>
      <w:r w:rsidRPr="001B78F5">
        <w:rPr>
          <w:sz w:val="23"/>
          <w:szCs w:val="23"/>
        </w:rPr>
        <w:t>Provides advice to management on issues relating to WHS, workers’ compensation and injury management.</w:t>
      </w:r>
    </w:p>
    <w:p w14:paraId="73662C29" w14:textId="2D58B8BB" w:rsidR="001134DD" w:rsidRPr="001B78F5" w:rsidRDefault="001134DD" w:rsidP="00B46FBB">
      <w:pPr>
        <w:pStyle w:val="ListParagraph"/>
        <w:numPr>
          <w:ilvl w:val="0"/>
          <w:numId w:val="20"/>
        </w:numPr>
        <w:spacing w:after="80"/>
        <w:ind w:left="284" w:hanging="284"/>
        <w:rPr>
          <w:sz w:val="23"/>
          <w:szCs w:val="23"/>
        </w:rPr>
      </w:pPr>
      <w:r w:rsidRPr="001B78F5">
        <w:rPr>
          <w:sz w:val="23"/>
          <w:szCs w:val="23"/>
        </w:rPr>
        <w:t>Manages workers' compensation administration and injury management, including return to work programs.</w:t>
      </w:r>
    </w:p>
    <w:p w14:paraId="31B91675" w14:textId="3FB3AF3B" w:rsidR="001134DD" w:rsidRPr="001B78F5" w:rsidRDefault="001134DD" w:rsidP="00B46FBB">
      <w:pPr>
        <w:pStyle w:val="ListParagraph"/>
        <w:numPr>
          <w:ilvl w:val="0"/>
          <w:numId w:val="20"/>
        </w:numPr>
        <w:spacing w:after="80"/>
        <w:ind w:left="284" w:hanging="284"/>
        <w:rPr>
          <w:sz w:val="23"/>
          <w:szCs w:val="23"/>
        </w:rPr>
      </w:pPr>
      <w:r w:rsidRPr="001B78F5">
        <w:rPr>
          <w:sz w:val="23"/>
          <w:szCs w:val="23"/>
        </w:rPr>
        <w:t>Investigates WHS incidents and provides reports for improvements and risk mitigation.</w:t>
      </w:r>
    </w:p>
    <w:p w14:paraId="249F6032" w14:textId="4478CB6D" w:rsidR="001134DD" w:rsidRPr="001B78F5" w:rsidRDefault="001134DD" w:rsidP="00B46FBB">
      <w:pPr>
        <w:pStyle w:val="ListParagraph"/>
        <w:numPr>
          <w:ilvl w:val="0"/>
          <w:numId w:val="20"/>
        </w:numPr>
        <w:spacing w:after="80"/>
        <w:ind w:left="284" w:hanging="284"/>
        <w:rPr>
          <w:sz w:val="23"/>
          <w:szCs w:val="23"/>
        </w:rPr>
      </w:pPr>
      <w:r w:rsidRPr="001B78F5">
        <w:rPr>
          <w:sz w:val="23"/>
          <w:szCs w:val="23"/>
        </w:rPr>
        <w:t>Develops and implements proactive and effective strategies, related policies and procedures to manage potentially high-risk workforce issues.</w:t>
      </w:r>
    </w:p>
    <w:p w14:paraId="113A21E7" w14:textId="6920F926" w:rsidR="001134DD" w:rsidRPr="001B78F5" w:rsidRDefault="001134DD" w:rsidP="00B46FBB">
      <w:pPr>
        <w:pStyle w:val="ListParagraph"/>
        <w:numPr>
          <w:ilvl w:val="0"/>
          <w:numId w:val="20"/>
        </w:numPr>
        <w:spacing w:after="80"/>
        <w:ind w:left="284" w:hanging="284"/>
        <w:rPr>
          <w:sz w:val="23"/>
          <w:szCs w:val="23"/>
        </w:rPr>
      </w:pPr>
      <w:r w:rsidRPr="001B78F5">
        <w:rPr>
          <w:sz w:val="23"/>
          <w:szCs w:val="23"/>
        </w:rPr>
        <w:t>Liaises with building management to ensure effective communication and implementation of the emergency management plan/procedure.</w:t>
      </w:r>
    </w:p>
    <w:p w14:paraId="7E33562F" w14:textId="31031DDE" w:rsidR="001134DD" w:rsidRPr="001B78F5" w:rsidRDefault="001134DD" w:rsidP="00B46FBB">
      <w:pPr>
        <w:pStyle w:val="ListParagraph"/>
        <w:numPr>
          <w:ilvl w:val="0"/>
          <w:numId w:val="20"/>
        </w:numPr>
        <w:spacing w:after="80"/>
        <w:ind w:left="284" w:hanging="284"/>
        <w:rPr>
          <w:sz w:val="23"/>
          <w:szCs w:val="23"/>
        </w:rPr>
      </w:pPr>
      <w:r w:rsidRPr="001B78F5">
        <w:rPr>
          <w:sz w:val="23"/>
          <w:szCs w:val="23"/>
        </w:rPr>
        <w:t>Conducts research, evaluation and analysis of information and data to identify trends and issues and implements appropriate strategies to minimise risk.</w:t>
      </w:r>
    </w:p>
    <w:p w14:paraId="127E3CEB" w14:textId="5F9D992D" w:rsidR="001134DD" w:rsidRPr="001B78F5" w:rsidRDefault="001134DD" w:rsidP="00B46FBB">
      <w:pPr>
        <w:pStyle w:val="ListParagraph"/>
        <w:numPr>
          <w:ilvl w:val="0"/>
          <w:numId w:val="20"/>
        </w:numPr>
        <w:spacing w:after="80"/>
        <w:ind w:left="284" w:hanging="284"/>
        <w:rPr>
          <w:sz w:val="23"/>
          <w:szCs w:val="23"/>
        </w:rPr>
      </w:pPr>
      <w:r w:rsidRPr="001B78F5">
        <w:rPr>
          <w:sz w:val="23"/>
          <w:szCs w:val="23"/>
        </w:rPr>
        <w:t>Leads the communication of WHS and wellbeing initiative.</w:t>
      </w:r>
    </w:p>
    <w:p w14:paraId="0FF3AFF5" w14:textId="3C0A30C9" w:rsidR="001134DD" w:rsidRPr="001B78F5" w:rsidRDefault="001134DD" w:rsidP="00B46FBB">
      <w:pPr>
        <w:pStyle w:val="ListParagraph"/>
        <w:numPr>
          <w:ilvl w:val="0"/>
          <w:numId w:val="20"/>
        </w:numPr>
        <w:spacing w:after="240"/>
        <w:ind w:left="284" w:hanging="284"/>
        <w:rPr>
          <w:sz w:val="23"/>
          <w:szCs w:val="23"/>
        </w:rPr>
      </w:pPr>
      <w:r w:rsidRPr="001B78F5">
        <w:rPr>
          <w:sz w:val="23"/>
          <w:szCs w:val="23"/>
        </w:rPr>
        <w:t>Identifies WHS training requirements and seeks relevant providers to deliver and/or design.</w:t>
      </w:r>
    </w:p>
    <w:p w14:paraId="51C64450" w14:textId="65FA0621" w:rsidR="001134DD" w:rsidRPr="001134DD" w:rsidRDefault="001134DD" w:rsidP="001134DD">
      <w:pPr>
        <w:spacing w:after="120"/>
        <w:rPr>
          <w:sz w:val="23"/>
          <w:szCs w:val="23"/>
        </w:rPr>
      </w:pPr>
      <w:r w:rsidRPr="001B78F5">
        <w:rPr>
          <w:b/>
          <w:bCs/>
          <w:sz w:val="23"/>
          <w:szCs w:val="23"/>
        </w:rPr>
        <w:t>Stakeholder Engagement</w:t>
      </w:r>
    </w:p>
    <w:p w14:paraId="3E37832F" w14:textId="1EA8C98D" w:rsidR="001134DD" w:rsidRPr="001B78F5" w:rsidRDefault="001134DD" w:rsidP="00B46FBB">
      <w:pPr>
        <w:pStyle w:val="ListParagraph"/>
        <w:numPr>
          <w:ilvl w:val="0"/>
          <w:numId w:val="21"/>
        </w:numPr>
        <w:spacing w:after="80"/>
        <w:ind w:left="284" w:hanging="284"/>
        <w:rPr>
          <w:sz w:val="23"/>
          <w:szCs w:val="23"/>
        </w:rPr>
      </w:pPr>
      <w:r w:rsidRPr="001B78F5">
        <w:rPr>
          <w:sz w:val="23"/>
          <w:szCs w:val="23"/>
        </w:rPr>
        <w:t>Builds, fosters and influences effective working and communication relationships with internal staff, external providers and other key stakeholders.</w:t>
      </w:r>
    </w:p>
    <w:p w14:paraId="72B07EE8" w14:textId="4C48F605" w:rsidR="001134DD" w:rsidRPr="001B78F5" w:rsidRDefault="001134DD" w:rsidP="00B46FBB">
      <w:pPr>
        <w:pStyle w:val="ListParagraph"/>
        <w:numPr>
          <w:ilvl w:val="0"/>
          <w:numId w:val="21"/>
        </w:numPr>
        <w:spacing w:after="80"/>
        <w:ind w:left="284" w:hanging="284"/>
        <w:rPr>
          <w:sz w:val="23"/>
          <w:szCs w:val="23"/>
        </w:rPr>
      </w:pPr>
      <w:r w:rsidRPr="001B78F5">
        <w:rPr>
          <w:sz w:val="23"/>
          <w:szCs w:val="23"/>
        </w:rPr>
        <w:t>Represents the Department on relevant internal and external committees and working parties and collaborates with key stakeholders such as WorkSafe WA, RiskCover, Insurance Commission of WA and the Public Sector Commission to support reform initiatives relevant to WHS and sector wide initiatives.</w:t>
      </w:r>
    </w:p>
    <w:p w14:paraId="32AF7670" w14:textId="3FD4712F" w:rsidR="00756536" w:rsidRPr="001B78F5" w:rsidRDefault="00F167A5" w:rsidP="00C47631">
      <w:pPr>
        <w:pStyle w:val="Heading2"/>
        <w:rPr>
          <w:sz w:val="23"/>
          <w:szCs w:val="23"/>
        </w:rPr>
      </w:pPr>
      <w:r w:rsidRPr="001B78F5">
        <w:rPr>
          <w:sz w:val="23"/>
          <w:szCs w:val="23"/>
        </w:rPr>
        <w:t>Corporate</w:t>
      </w:r>
      <w:r w:rsidR="004A4EC3" w:rsidRPr="001B78F5">
        <w:rPr>
          <w:sz w:val="23"/>
          <w:szCs w:val="23"/>
        </w:rPr>
        <w:t xml:space="preserve"> </w:t>
      </w:r>
      <w:r w:rsidR="00756536" w:rsidRPr="001B78F5">
        <w:rPr>
          <w:sz w:val="23"/>
          <w:szCs w:val="23"/>
        </w:rPr>
        <w:t>Responsibilities</w:t>
      </w:r>
    </w:p>
    <w:p w14:paraId="2C021AC5" w14:textId="77777777" w:rsidR="00F167A5" w:rsidRPr="001B78F5" w:rsidRDefault="00F167A5" w:rsidP="00BE399E">
      <w:pPr>
        <w:pStyle w:val="ListParagraph"/>
        <w:numPr>
          <w:ilvl w:val="0"/>
          <w:numId w:val="18"/>
        </w:numPr>
        <w:spacing w:after="0"/>
        <w:ind w:left="357" w:hanging="357"/>
        <w:rPr>
          <w:color w:val="auto"/>
          <w:sz w:val="23"/>
          <w:szCs w:val="23"/>
        </w:rPr>
      </w:pPr>
      <w:r w:rsidRPr="001B78F5">
        <w:rPr>
          <w:color w:val="auto"/>
          <w:sz w:val="23"/>
          <w:szCs w:val="23"/>
        </w:rPr>
        <w:t>Exhibits accountability, professional integrity and respect consistent with DPC Values, the Code of Conduct, and the public sector Code of Ethics.</w:t>
      </w:r>
    </w:p>
    <w:p w14:paraId="67C9CBAC" w14:textId="77777777" w:rsidR="00F167A5" w:rsidRPr="001B78F5" w:rsidRDefault="00F167A5" w:rsidP="00BE399E">
      <w:pPr>
        <w:pStyle w:val="ListParagraph"/>
        <w:numPr>
          <w:ilvl w:val="0"/>
          <w:numId w:val="18"/>
        </w:numPr>
        <w:spacing w:after="0"/>
        <w:ind w:left="357" w:hanging="357"/>
        <w:rPr>
          <w:color w:val="auto"/>
          <w:sz w:val="23"/>
          <w:szCs w:val="23"/>
        </w:rPr>
      </w:pPr>
      <w:r w:rsidRPr="001B78F5">
        <w:rPr>
          <w:color w:val="auto"/>
          <w:sz w:val="23"/>
          <w:szCs w:val="23"/>
        </w:rPr>
        <w:t xml:space="preserve">Takes reasonable care to protect your own safety and health at work, and that of others by co-operating with the safety and health policies and procedures of the Department and complying with all provisions of the </w:t>
      </w:r>
      <w:r w:rsidRPr="001B78F5">
        <w:rPr>
          <w:i/>
          <w:iCs/>
          <w:color w:val="auto"/>
          <w:sz w:val="23"/>
          <w:szCs w:val="23"/>
        </w:rPr>
        <w:t>Work Health and Safety Act 2020</w:t>
      </w:r>
    </w:p>
    <w:p w14:paraId="43976E59" w14:textId="38F06201" w:rsidR="00F167A5" w:rsidRPr="001B78F5" w:rsidRDefault="00F167A5" w:rsidP="00BE399E">
      <w:pPr>
        <w:pStyle w:val="ListParagraph"/>
        <w:numPr>
          <w:ilvl w:val="0"/>
          <w:numId w:val="18"/>
        </w:numPr>
        <w:spacing w:after="0"/>
        <w:ind w:left="357" w:hanging="357"/>
        <w:rPr>
          <w:color w:val="auto"/>
          <w:sz w:val="23"/>
          <w:szCs w:val="23"/>
        </w:rPr>
      </w:pPr>
      <w:r w:rsidRPr="001B78F5">
        <w:rPr>
          <w:color w:val="auto"/>
          <w:sz w:val="23"/>
          <w:szCs w:val="23"/>
        </w:rPr>
        <w:t>Undertakes other duties as required.</w:t>
      </w:r>
      <w:r w:rsidR="00791921">
        <w:rPr>
          <w:color w:val="auto"/>
          <w:sz w:val="23"/>
          <w:szCs w:val="23"/>
        </w:rPr>
        <w:br/>
      </w:r>
    </w:p>
    <w:p w14:paraId="5575967B" w14:textId="17A11E99" w:rsidR="00791921" w:rsidRPr="00791921" w:rsidRDefault="007421AD" w:rsidP="00791921">
      <w:pPr>
        <w:pStyle w:val="Heading2"/>
        <w:spacing w:after="0"/>
        <w:rPr>
          <w:sz w:val="23"/>
          <w:szCs w:val="23"/>
        </w:rPr>
      </w:pPr>
      <w:r w:rsidRPr="001B78F5">
        <w:rPr>
          <w:sz w:val="23"/>
          <w:szCs w:val="23"/>
        </w:rPr>
        <w:lastRenderedPageBreak/>
        <w:t>Work Related Capabilities (Selection Criteria)</w:t>
      </w:r>
      <w:r w:rsidR="00791921">
        <w:rPr>
          <w:sz w:val="23"/>
          <w:szCs w:val="23"/>
        </w:rPr>
        <w:br/>
      </w:r>
      <w:r w:rsidR="00791921" w:rsidRPr="00791921">
        <w:rPr>
          <w:color w:val="auto"/>
          <w:sz w:val="23"/>
          <w:szCs w:val="23"/>
        </w:rPr>
        <w:t>Essential</w:t>
      </w:r>
    </w:p>
    <w:p w14:paraId="7E5FA82B" w14:textId="78EC81D9" w:rsidR="00B46FBB" w:rsidRPr="00BE399E" w:rsidRDefault="00B46FBB" w:rsidP="00BE399E">
      <w:pPr>
        <w:pStyle w:val="ListParagraph"/>
        <w:numPr>
          <w:ilvl w:val="0"/>
          <w:numId w:val="23"/>
        </w:numPr>
        <w:tabs>
          <w:tab w:val="left" w:pos="5841"/>
        </w:tabs>
        <w:spacing w:after="0"/>
        <w:ind w:left="426" w:hanging="426"/>
        <w:rPr>
          <w:sz w:val="23"/>
          <w:szCs w:val="23"/>
        </w:rPr>
      </w:pPr>
      <w:r w:rsidRPr="00BE399E">
        <w:rPr>
          <w:sz w:val="23"/>
          <w:szCs w:val="23"/>
        </w:rPr>
        <w:t>Extensive experience in the delivery of WHS Consultancy, successful implementation of WHS governance and practices.</w:t>
      </w:r>
    </w:p>
    <w:p w14:paraId="36C37F38" w14:textId="765AF3E0" w:rsidR="00B46FBB" w:rsidRPr="001B78F5" w:rsidRDefault="00B46FBB" w:rsidP="00BE399E">
      <w:pPr>
        <w:pStyle w:val="ListParagraph"/>
        <w:numPr>
          <w:ilvl w:val="0"/>
          <w:numId w:val="23"/>
        </w:numPr>
        <w:tabs>
          <w:tab w:val="left" w:pos="5841"/>
        </w:tabs>
        <w:spacing w:after="0"/>
        <w:ind w:left="426" w:hanging="426"/>
        <w:rPr>
          <w:sz w:val="23"/>
          <w:szCs w:val="23"/>
        </w:rPr>
      </w:pPr>
      <w:r w:rsidRPr="001B78F5">
        <w:rPr>
          <w:sz w:val="23"/>
          <w:szCs w:val="23"/>
        </w:rPr>
        <w:t>Demonstrated current knowledge of safety management systems and risk management practices.</w:t>
      </w:r>
    </w:p>
    <w:p w14:paraId="04F45C17" w14:textId="34B01F6D" w:rsidR="00B46FBB" w:rsidRPr="001B78F5" w:rsidRDefault="00B46FBB" w:rsidP="00BE399E">
      <w:pPr>
        <w:pStyle w:val="ListParagraph"/>
        <w:numPr>
          <w:ilvl w:val="0"/>
          <w:numId w:val="23"/>
        </w:numPr>
        <w:tabs>
          <w:tab w:val="left" w:pos="5841"/>
        </w:tabs>
        <w:spacing w:after="0"/>
        <w:ind w:left="426" w:hanging="426"/>
        <w:rPr>
          <w:sz w:val="23"/>
          <w:szCs w:val="23"/>
        </w:rPr>
      </w:pPr>
      <w:r w:rsidRPr="001B78F5">
        <w:rPr>
          <w:sz w:val="23"/>
          <w:szCs w:val="23"/>
        </w:rPr>
        <w:t>Highly developed verbal and written communication, interpersonal and negotiation skills including the ability to engage stakeholders at all levels of the organisational structure.</w:t>
      </w:r>
    </w:p>
    <w:p w14:paraId="2D7DA28B" w14:textId="476F6694" w:rsidR="00B46FBB" w:rsidRPr="001B78F5" w:rsidRDefault="00B46FBB" w:rsidP="00BE399E">
      <w:pPr>
        <w:pStyle w:val="ListParagraph"/>
        <w:numPr>
          <w:ilvl w:val="0"/>
          <w:numId w:val="23"/>
        </w:numPr>
        <w:tabs>
          <w:tab w:val="left" w:pos="5841"/>
        </w:tabs>
        <w:spacing w:after="0"/>
        <w:ind w:left="426" w:hanging="426"/>
        <w:rPr>
          <w:sz w:val="23"/>
          <w:szCs w:val="23"/>
        </w:rPr>
      </w:pPr>
      <w:r w:rsidRPr="001B78F5">
        <w:rPr>
          <w:sz w:val="23"/>
          <w:szCs w:val="23"/>
        </w:rPr>
        <w:t>Well-developed</w:t>
      </w:r>
      <w:r w:rsidRPr="001B78F5">
        <w:rPr>
          <w:sz w:val="23"/>
          <w:szCs w:val="23"/>
        </w:rPr>
        <w:t xml:space="preserve"> planning, research, conceptual and </w:t>
      </w:r>
      <w:r w:rsidR="00BE399E" w:rsidRPr="001B78F5">
        <w:rPr>
          <w:sz w:val="23"/>
          <w:szCs w:val="23"/>
        </w:rPr>
        <w:t>problem-solving</w:t>
      </w:r>
      <w:r w:rsidRPr="001B78F5">
        <w:rPr>
          <w:sz w:val="23"/>
          <w:szCs w:val="23"/>
        </w:rPr>
        <w:t xml:space="preserve"> skills.</w:t>
      </w:r>
    </w:p>
    <w:p w14:paraId="1975E3EE" w14:textId="574C5A9A" w:rsidR="00BE399E" w:rsidRPr="00BE399E" w:rsidRDefault="00B46FBB" w:rsidP="00C45F38">
      <w:pPr>
        <w:pStyle w:val="ListParagraph"/>
        <w:numPr>
          <w:ilvl w:val="0"/>
          <w:numId w:val="23"/>
        </w:numPr>
        <w:tabs>
          <w:tab w:val="left" w:pos="5841"/>
        </w:tabs>
        <w:spacing w:after="0"/>
        <w:ind w:left="426" w:hanging="426"/>
        <w:rPr>
          <w:sz w:val="23"/>
          <w:szCs w:val="23"/>
        </w:rPr>
      </w:pPr>
      <w:r w:rsidRPr="001B78F5">
        <w:rPr>
          <w:sz w:val="23"/>
          <w:szCs w:val="23"/>
        </w:rPr>
        <w:t>Highly developed ability to lead and influence others including coaching, mentoring and building capabilities.</w:t>
      </w:r>
      <w:r w:rsidR="0033476B" w:rsidRPr="001B78F5">
        <w:rPr>
          <w:sz w:val="23"/>
          <w:szCs w:val="23"/>
        </w:rPr>
        <w:tab/>
      </w:r>
      <w:r w:rsidR="00BE399E">
        <w:rPr>
          <w:sz w:val="23"/>
          <w:szCs w:val="23"/>
        </w:rPr>
        <w:br/>
      </w:r>
    </w:p>
    <w:p w14:paraId="5178D9AC" w14:textId="17BF1ADA" w:rsidR="0033476B" w:rsidRPr="00791921" w:rsidRDefault="00B46FBB" w:rsidP="00C45F38">
      <w:pPr>
        <w:rPr>
          <w:b/>
          <w:bCs/>
          <w:sz w:val="23"/>
          <w:szCs w:val="23"/>
        </w:rPr>
      </w:pPr>
      <w:r w:rsidRPr="00791921">
        <w:rPr>
          <w:b/>
          <w:bCs/>
          <w:sz w:val="23"/>
          <w:szCs w:val="23"/>
        </w:rPr>
        <w:t xml:space="preserve">Desirable </w:t>
      </w:r>
    </w:p>
    <w:p w14:paraId="7E1B55D6" w14:textId="3BD3CF19" w:rsidR="00B46FBB" w:rsidRPr="001B78F5" w:rsidRDefault="00B46FBB" w:rsidP="00791921">
      <w:pPr>
        <w:pStyle w:val="ListParagraph"/>
        <w:numPr>
          <w:ilvl w:val="0"/>
          <w:numId w:val="25"/>
        </w:numPr>
        <w:spacing w:after="0"/>
        <w:ind w:left="426" w:hanging="426"/>
        <w:rPr>
          <w:sz w:val="23"/>
          <w:szCs w:val="23"/>
        </w:rPr>
      </w:pPr>
      <w:r w:rsidRPr="001B78F5">
        <w:rPr>
          <w:sz w:val="23"/>
          <w:szCs w:val="23"/>
        </w:rPr>
        <w:t>Cert IV in Work Health and Safety or qualifications in a related discipline.</w:t>
      </w:r>
    </w:p>
    <w:p w14:paraId="79B8FE08" w14:textId="66B23C8C" w:rsidR="00B46FBB" w:rsidRPr="001B78F5" w:rsidRDefault="00B46FBB" w:rsidP="00791921">
      <w:pPr>
        <w:pStyle w:val="ListParagraph"/>
        <w:numPr>
          <w:ilvl w:val="0"/>
          <w:numId w:val="25"/>
        </w:numPr>
        <w:spacing w:after="0"/>
        <w:ind w:left="426" w:hanging="426"/>
        <w:rPr>
          <w:sz w:val="23"/>
          <w:szCs w:val="23"/>
        </w:rPr>
      </w:pPr>
      <w:r w:rsidRPr="001B78F5">
        <w:rPr>
          <w:sz w:val="23"/>
          <w:szCs w:val="23"/>
        </w:rPr>
        <w:t>Post graduate qualifications in health and safety.</w:t>
      </w:r>
    </w:p>
    <w:p w14:paraId="0213E5C8" w14:textId="77777777" w:rsidR="00B46FBB" w:rsidRPr="001B78F5" w:rsidRDefault="00B46FBB" w:rsidP="00C45F38">
      <w:pPr>
        <w:rPr>
          <w:sz w:val="23"/>
          <w:szCs w:val="23"/>
        </w:rPr>
      </w:pPr>
    </w:p>
    <w:p w14:paraId="268B2915" w14:textId="0D12B51B" w:rsidR="00631D31" w:rsidRPr="001B78F5" w:rsidRDefault="009514B1" w:rsidP="00C45F38">
      <w:pPr>
        <w:rPr>
          <w:sz w:val="23"/>
          <w:szCs w:val="23"/>
        </w:rPr>
      </w:pPr>
      <w:r w:rsidRPr="001B78F5">
        <w:rPr>
          <w:sz w:val="23"/>
          <w:szCs w:val="23"/>
        </w:rPr>
        <w:t>For permanent appointments y</w:t>
      </w:r>
      <w:r w:rsidR="00394896" w:rsidRPr="001B78F5">
        <w:rPr>
          <w:sz w:val="23"/>
          <w:szCs w:val="23"/>
        </w:rPr>
        <w:t xml:space="preserve">ou must also be eligible to live and work in Australia indefinitely. </w:t>
      </w:r>
      <w:r w:rsidR="00631D31" w:rsidRPr="001B78F5">
        <w:rPr>
          <w:sz w:val="23"/>
          <w:szCs w:val="23"/>
        </w:rPr>
        <w:t xml:space="preserve">Employees engaged on fixed term appointments </w:t>
      </w:r>
      <w:r w:rsidR="00AE1B75" w:rsidRPr="001B78F5">
        <w:rPr>
          <w:sz w:val="23"/>
          <w:szCs w:val="23"/>
        </w:rPr>
        <w:t xml:space="preserve">need </w:t>
      </w:r>
      <w:r w:rsidR="00631D31" w:rsidRPr="001B78F5">
        <w:rPr>
          <w:sz w:val="23"/>
          <w:szCs w:val="23"/>
        </w:rPr>
        <w:t>a valid work visa for the duration of the</w:t>
      </w:r>
      <w:r w:rsidR="00AE1B75" w:rsidRPr="001B78F5">
        <w:rPr>
          <w:sz w:val="23"/>
          <w:szCs w:val="23"/>
        </w:rPr>
        <w:t>ir</w:t>
      </w:r>
      <w:r w:rsidR="00631D31" w:rsidRPr="001B78F5">
        <w:rPr>
          <w:sz w:val="23"/>
          <w:szCs w:val="23"/>
        </w:rPr>
        <w:t xml:space="preserve"> contract.</w:t>
      </w:r>
    </w:p>
    <w:p w14:paraId="276BE7AD" w14:textId="1787F454" w:rsidR="005A2701" w:rsidRPr="001B78F5" w:rsidRDefault="00631D31" w:rsidP="005A2701">
      <w:pPr>
        <w:rPr>
          <w:sz w:val="23"/>
          <w:szCs w:val="23"/>
        </w:rPr>
      </w:pPr>
      <w:r w:rsidRPr="001B78F5">
        <w:rPr>
          <w:sz w:val="23"/>
          <w:szCs w:val="23"/>
        </w:rPr>
        <w:t xml:space="preserve">Appointment is </w:t>
      </w:r>
      <w:r w:rsidR="00394896" w:rsidRPr="001B78F5">
        <w:rPr>
          <w:sz w:val="23"/>
          <w:szCs w:val="23"/>
        </w:rPr>
        <w:t xml:space="preserve">also </w:t>
      </w:r>
      <w:r w:rsidR="00AE1B75" w:rsidRPr="001B78F5">
        <w:rPr>
          <w:sz w:val="23"/>
          <w:szCs w:val="23"/>
        </w:rPr>
        <w:t xml:space="preserve">dependent on </w:t>
      </w:r>
      <w:r w:rsidR="00394896" w:rsidRPr="001B78F5">
        <w:rPr>
          <w:sz w:val="23"/>
          <w:szCs w:val="23"/>
        </w:rPr>
        <w:t xml:space="preserve">a </w:t>
      </w:r>
      <w:r w:rsidRPr="001B78F5">
        <w:rPr>
          <w:sz w:val="23"/>
          <w:szCs w:val="23"/>
        </w:rPr>
        <w:t>100-point identification check and</w:t>
      </w:r>
      <w:r w:rsidR="00394896" w:rsidRPr="001B78F5">
        <w:rPr>
          <w:sz w:val="23"/>
          <w:szCs w:val="23"/>
        </w:rPr>
        <w:t xml:space="preserve"> </w:t>
      </w:r>
      <w:r w:rsidRPr="001B78F5">
        <w:rPr>
          <w:sz w:val="23"/>
          <w:szCs w:val="23"/>
        </w:rPr>
        <w:t>Criminal Records Screening Clearance</w:t>
      </w:r>
      <w:r w:rsidR="00394896" w:rsidRPr="001B78F5">
        <w:rPr>
          <w:sz w:val="23"/>
          <w:szCs w:val="23"/>
        </w:rPr>
        <w:t>.</w:t>
      </w:r>
    </w:p>
    <w:p w14:paraId="6D4F21E1" w14:textId="483B5655" w:rsidR="005A2701" w:rsidRPr="001B78F5" w:rsidRDefault="005A2701" w:rsidP="00FF59CB">
      <w:pPr>
        <w:pStyle w:val="Heading1"/>
        <w:rPr>
          <w:sz w:val="23"/>
          <w:szCs w:val="23"/>
        </w:rPr>
      </w:pPr>
      <w:r w:rsidRPr="001B78F5">
        <w:rPr>
          <w:sz w:val="23"/>
          <w:szCs w:val="23"/>
        </w:rPr>
        <w:t>Certification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701"/>
        <w:gridCol w:w="3119"/>
        <w:gridCol w:w="1277"/>
      </w:tblGrid>
      <w:tr w:rsidR="005A2701" w:rsidRPr="001B78F5" w14:paraId="1B760A90" w14:textId="77777777" w:rsidTr="006C1C4D">
        <w:trPr>
          <w:trHeight w:val="659"/>
        </w:trPr>
        <w:tc>
          <w:tcPr>
            <w:tcW w:w="3402" w:type="dxa"/>
          </w:tcPr>
          <w:p w14:paraId="6D4DECA5" w14:textId="001123AC" w:rsidR="005A2701" w:rsidRPr="001B78F5" w:rsidRDefault="006C1C4D" w:rsidP="0033476B">
            <w:pPr>
              <w:pStyle w:val="Heading3"/>
              <w:ind w:left="-113"/>
              <w:rPr>
                <w:sz w:val="23"/>
                <w:szCs w:val="23"/>
              </w:rPr>
            </w:pPr>
            <w:r w:rsidRPr="001B78F5">
              <w:rPr>
                <w:sz w:val="23"/>
                <w:szCs w:val="23"/>
              </w:rPr>
              <w:t>Authorising</w:t>
            </w:r>
            <w:r w:rsidR="005A2701" w:rsidRPr="001B78F5">
              <w:rPr>
                <w:sz w:val="23"/>
                <w:szCs w:val="23"/>
              </w:rPr>
              <w:t xml:space="preserve"> Signature:</w:t>
            </w:r>
          </w:p>
          <w:p w14:paraId="3884FF37" w14:textId="77777777" w:rsidR="004B2309" w:rsidRPr="001B78F5" w:rsidRDefault="004B2309" w:rsidP="004B2309">
            <w:pPr>
              <w:rPr>
                <w:sz w:val="23"/>
                <w:szCs w:val="23"/>
              </w:rPr>
            </w:pPr>
          </w:p>
          <w:p w14:paraId="019B14E0" w14:textId="55D2C1C9" w:rsidR="002F64E9" w:rsidRPr="001B78F5" w:rsidRDefault="002F64E9" w:rsidP="004B2309">
            <w:pPr>
              <w:rPr>
                <w:sz w:val="23"/>
                <w:szCs w:val="23"/>
              </w:rPr>
            </w:pPr>
          </w:p>
        </w:tc>
        <w:tc>
          <w:tcPr>
            <w:tcW w:w="1701" w:type="dxa"/>
          </w:tcPr>
          <w:p w14:paraId="68C4626E" w14:textId="77777777" w:rsidR="005A2701" w:rsidRPr="001B78F5" w:rsidRDefault="005A2701" w:rsidP="005A2701">
            <w:pPr>
              <w:rPr>
                <w:rFonts w:ascii="Neue Haas Grotesk Text Pro" w:hAnsi="Neue Haas Grotesk Text Pro"/>
                <w:b/>
                <w:sz w:val="23"/>
                <w:szCs w:val="23"/>
              </w:rPr>
            </w:pPr>
          </w:p>
          <w:p w14:paraId="357C8B40" w14:textId="77777777" w:rsidR="002F64E9" w:rsidRPr="001B78F5" w:rsidRDefault="002F64E9" w:rsidP="005A2701">
            <w:pPr>
              <w:rPr>
                <w:rFonts w:ascii="Neue Haas Grotesk Text Pro" w:hAnsi="Neue Haas Grotesk Text Pro"/>
                <w:b/>
                <w:sz w:val="23"/>
                <w:szCs w:val="23"/>
              </w:rPr>
            </w:pPr>
          </w:p>
        </w:tc>
        <w:tc>
          <w:tcPr>
            <w:tcW w:w="3119" w:type="dxa"/>
          </w:tcPr>
          <w:p w14:paraId="05F6E0BC" w14:textId="01287DA1" w:rsidR="005A2701" w:rsidRPr="001B78F5" w:rsidRDefault="002F64E9" w:rsidP="00C47631">
            <w:pPr>
              <w:pStyle w:val="Heading3"/>
              <w:rPr>
                <w:sz w:val="23"/>
                <w:szCs w:val="23"/>
              </w:rPr>
            </w:pPr>
            <w:r w:rsidRPr="001B78F5">
              <w:rPr>
                <w:sz w:val="23"/>
                <w:szCs w:val="23"/>
              </w:rPr>
              <w:t>People Services:</w:t>
            </w:r>
          </w:p>
        </w:tc>
        <w:tc>
          <w:tcPr>
            <w:tcW w:w="1277" w:type="dxa"/>
          </w:tcPr>
          <w:p w14:paraId="6B183A00" w14:textId="77777777" w:rsidR="005A2701" w:rsidRPr="001B78F5" w:rsidRDefault="005A2701" w:rsidP="005A2701">
            <w:pPr>
              <w:rPr>
                <w:rFonts w:ascii="Neue Haas Grotesk Text Pro" w:hAnsi="Neue Haas Grotesk Text Pro"/>
                <w:b/>
                <w:sz w:val="23"/>
                <w:szCs w:val="23"/>
              </w:rPr>
            </w:pPr>
          </w:p>
        </w:tc>
      </w:tr>
      <w:tr w:rsidR="005A2701" w:rsidRPr="001B78F5" w14:paraId="6C4AC279" w14:textId="77777777" w:rsidTr="006C1C4D">
        <w:trPr>
          <w:trHeight w:val="542"/>
        </w:trPr>
        <w:tc>
          <w:tcPr>
            <w:tcW w:w="3402" w:type="dxa"/>
          </w:tcPr>
          <w:p w14:paraId="39B9EABA" w14:textId="78240578" w:rsidR="005A2701" w:rsidRPr="001B78F5" w:rsidRDefault="00AC73F2" w:rsidP="0033476B">
            <w:pPr>
              <w:pStyle w:val="Heading3"/>
              <w:ind w:hanging="113"/>
              <w:rPr>
                <w:sz w:val="23"/>
                <w:szCs w:val="23"/>
              </w:rPr>
            </w:pPr>
            <w:r w:rsidRPr="001B78F5">
              <w:rPr>
                <w:sz w:val="23"/>
                <w:szCs w:val="23"/>
              </w:rPr>
              <w:t>D</w:t>
            </w:r>
            <w:r w:rsidR="005A2701" w:rsidRPr="001B78F5">
              <w:rPr>
                <w:sz w:val="23"/>
                <w:szCs w:val="23"/>
              </w:rPr>
              <w:t>ate:</w:t>
            </w:r>
          </w:p>
        </w:tc>
        <w:tc>
          <w:tcPr>
            <w:tcW w:w="1701" w:type="dxa"/>
          </w:tcPr>
          <w:p w14:paraId="3344B80E" w14:textId="77777777" w:rsidR="005A2701" w:rsidRPr="001B78F5" w:rsidRDefault="005A2701" w:rsidP="005A2701">
            <w:pPr>
              <w:rPr>
                <w:rFonts w:ascii="Neue Haas Grotesk Text Pro" w:hAnsi="Neue Haas Grotesk Text Pro"/>
                <w:b/>
                <w:sz w:val="23"/>
                <w:szCs w:val="23"/>
              </w:rPr>
            </w:pPr>
          </w:p>
          <w:p w14:paraId="2C6EABD3" w14:textId="77777777" w:rsidR="004B2309" w:rsidRPr="001B78F5" w:rsidRDefault="004B2309" w:rsidP="005A2701">
            <w:pPr>
              <w:rPr>
                <w:rFonts w:ascii="Neue Haas Grotesk Text Pro" w:hAnsi="Neue Haas Grotesk Text Pro"/>
                <w:b/>
                <w:sz w:val="23"/>
                <w:szCs w:val="23"/>
              </w:rPr>
            </w:pPr>
          </w:p>
        </w:tc>
        <w:tc>
          <w:tcPr>
            <w:tcW w:w="3119" w:type="dxa"/>
          </w:tcPr>
          <w:p w14:paraId="2CC297B8" w14:textId="44A3D1A1" w:rsidR="005A2701" w:rsidRPr="001B78F5" w:rsidRDefault="002F64E9" w:rsidP="00C47631">
            <w:pPr>
              <w:pStyle w:val="Heading3"/>
              <w:rPr>
                <w:sz w:val="23"/>
                <w:szCs w:val="23"/>
              </w:rPr>
            </w:pPr>
            <w:r w:rsidRPr="001B78F5">
              <w:rPr>
                <w:sz w:val="23"/>
                <w:szCs w:val="23"/>
              </w:rPr>
              <w:t>Date:</w:t>
            </w:r>
          </w:p>
        </w:tc>
        <w:tc>
          <w:tcPr>
            <w:tcW w:w="1277" w:type="dxa"/>
          </w:tcPr>
          <w:p w14:paraId="40432E0F" w14:textId="77777777" w:rsidR="005A2701" w:rsidRPr="001B78F5" w:rsidRDefault="005A2701" w:rsidP="005A2701">
            <w:pPr>
              <w:rPr>
                <w:rFonts w:ascii="Neue Haas Grotesk Text Pro" w:hAnsi="Neue Haas Grotesk Text Pro"/>
                <w:b/>
                <w:sz w:val="23"/>
                <w:szCs w:val="23"/>
              </w:rPr>
            </w:pPr>
          </w:p>
        </w:tc>
      </w:tr>
    </w:tbl>
    <w:p w14:paraId="48A53E74" w14:textId="77777777" w:rsidR="00756536" w:rsidRPr="00D007E3" w:rsidRDefault="00756536" w:rsidP="005A2701">
      <w:pPr>
        <w:rPr>
          <w:rFonts w:ascii="Neue Haas Grotesk Text Pro" w:hAnsi="Neue Haas Grotesk Text Pro"/>
        </w:rPr>
      </w:pPr>
    </w:p>
    <w:sectPr w:rsidR="00756536" w:rsidRPr="00D007E3" w:rsidSect="00791921">
      <w:headerReference w:type="default" r:id="rId11"/>
      <w:footerReference w:type="even" r:id="rId12"/>
      <w:footerReference w:type="default" r:id="rId13"/>
      <w:headerReference w:type="first" r:id="rId14"/>
      <w:footerReference w:type="first" r:id="rId15"/>
      <w:pgSz w:w="11906" w:h="16838"/>
      <w:pgMar w:top="1702" w:right="1331" w:bottom="1059" w:left="1077" w:header="709" w:footer="8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1A59C" w14:textId="77777777" w:rsidR="00DB08AF" w:rsidRDefault="00DB08AF" w:rsidP="00756536">
      <w:pPr>
        <w:spacing w:after="0" w:line="240" w:lineRule="auto"/>
      </w:pPr>
      <w:r>
        <w:separator/>
      </w:r>
    </w:p>
  </w:endnote>
  <w:endnote w:type="continuationSeparator" w:id="0">
    <w:p w14:paraId="3170135B" w14:textId="77777777" w:rsidR="00DB08AF" w:rsidRDefault="00DB08AF" w:rsidP="0075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Neue Haas Grotesk Text Pro">
    <w:charset w:val="00"/>
    <w:family w:val="swiss"/>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91015372"/>
      <w:docPartObj>
        <w:docPartGallery w:val="Page Numbers (Bottom of Page)"/>
        <w:docPartUnique/>
      </w:docPartObj>
    </w:sdtPr>
    <w:sdtEndPr>
      <w:rPr>
        <w:rStyle w:val="PageNumber"/>
      </w:rPr>
    </w:sdtEndPr>
    <w:sdtContent>
      <w:p w14:paraId="6CD96385" w14:textId="2A9E5796" w:rsidR="0033476B" w:rsidRDefault="0033476B" w:rsidP="00207A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6EFF34" w14:textId="77777777" w:rsidR="0033476B" w:rsidRDefault="0033476B" w:rsidP="003347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6892396"/>
      <w:docPartObj>
        <w:docPartGallery w:val="Page Numbers (Bottom of Page)"/>
        <w:docPartUnique/>
      </w:docPartObj>
    </w:sdtPr>
    <w:sdtEndPr>
      <w:rPr>
        <w:rStyle w:val="PageNumber"/>
        <w:color w:val="C24227"/>
        <w:sz w:val="20"/>
        <w:szCs w:val="20"/>
      </w:rPr>
    </w:sdtEndPr>
    <w:sdtContent>
      <w:p w14:paraId="617EB55A" w14:textId="0EE884AC"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2</w:t>
        </w:r>
        <w:r w:rsidRPr="0033476B">
          <w:rPr>
            <w:rStyle w:val="PageNumber"/>
            <w:color w:val="C24227"/>
            <w:sz w:val="20"/>
            <w:szCs w:val="20"/>
          </w:rPr>
          <w:fldChar w:fldCharType="end"/>
        </w:r>
      </w:p>
    </w:sdtContent>
  </w:sdt>
  <w:p w14:paraId="339A2963" w14:textId="0E81B6B4" w:rsidR="0033476B" w:rsidRPr="0033476B" w:rsidRDefault="0033476B" w:rsidP="0033476B">
    <w:pPr>
      <w:pStyle w:val="Footer"/>
      <w:ind w:right="360"/>
      <w:jc w:val="right"/>
      <w:rPr>
        <w:color w:val="C24227"/>
        <w:sz w:val="21"/>
        <w:szCs w:val="21"/>
      </w:rPr>
    </w:pPr>
    <w:r w:rsidRPr="0033476B">
      <w:rPr>
        <w:color w:val="C24227"/>
        <w:sz w:val="20"/>
        <w:szCs w:val="20"/>
      </w:rPr>
      <w:t xml:space="preserve">Job Description </w:t>
    </w:r>
    <w:r w:rsidR="001B54FD" w:rsidRPr="0033476B">
      <w:rPr>
        <w:color w:val="C24227"/>
        <w:sz w:val="20"/>
        <w:szCs w:val="20"/>
      </w:rPr>
      <w:t>Form</w:t>
    </w:r>
    <w:r w:rsidR="001B54FD">
      <w:rPr>
        <w:color w:val="C24227"/>
        <w:sz w:val="21"/>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C24227"/>
        <w:sz w:val="22"/>
        <w:szCs w:val="22"/>
      </w:rPr>
      <w:id w:val="2073308761"/>
      <w:docPartObj>
        <w:docPartGallery w:val="Page Numbers (Bottom of Page)"/>
        <w:docPartUnique/>
      </w:docPartObj>
    </w:sdtPr>
    <w:sdtEndPr>
      <w:rPr>
        <w:rStyle w:val="PageNumber"/>
        <w:sz w:val="20"/>
        <w:szCs w:val="20"/>
      </w:rPr>
    </w:sdtEndPr>
    <w:sdtContent>
      <w:p w14:paraId="7E362E97" w14:textId="0DFDA1A7" w:rsidR="0033476B" w:rsidRPr="0033476B" w:rsidRDefault="0033476B" w:rsidP="00207AA4">
        <w:pPr>
          <w:pStyle w:val="Footer"/>
          <w:framePr w:wrap="none" w:vAnchor="text" w:hAnchor="margin" w:xAlign="right" w:y="1"/>
          <w:rPr>
            <w:rStyle w:val="PageNumber"/>
            <w:color w:val="C24227"/>
            <w:sz w:val="20"/>
            <w:szCs w:val="20"/>
          </w:rPr>
        </w:pPr>
        <w:r w:rsidRPr="0033476B">
          <w:rPr>
            <w:rStyle w:val="PageNumber"/>
            <w:color w:val="C24227"/>
            <w:sz w:val="20"/>
            <w:szCs w:val="20"/>
          </w:rPr>
          <w:fldChar w:fldCharType="begin"/>
        </w:r>
        <w:r w:rsidRPr="0033476B">
          <w:rPr>
            <w:rStyle w:val="PageNumber"/>
            <w:color w:val="C24227"/>
            <w:sz w:val="20"/>
            <w:szCs w:val="20"/>
          </w:rPr>
          <w:instrText xml:space="preserve"> PAGE </w:instrText>
        </w:r>
        <w:r w:rsidRPr="0033476B">
          <w:rPr>
            <w:rStyle w:val="PageNumber"/>
            <w:color w:val="C24227"/>
            <w:sz w:val="20"/>
            <w:szCs w:val="20"/>
          </w:rPr>
          <w:fldChar w:fldCharType="separate"/>
        </w:r>
        <w:r w:rsidRPr="0033476B">
          <w:rPr>
            <w:rStyle w:val="PageNumber"/>
            <w:noProof/>
            <w:color w:val="C24227"/>
            <w:sz w:val="20"/>
            <w:szCs w:val="20"/>
          </w:rPr>
          <w:t>1</w:t>
        </w:r>
        <w:r w:rsidRPr="0033476B">
          <w:rPr>
            <w:rStyle w:val="PageNumber"/>
            <w:color w:val="C24227"/>
            <w:sz w:val="20"/>
            <w:szCs w:val="20"/>
          </w:rPr>
          <w:fldChar w:fldCharType="end"/>
        </w:r>
      </w:p>
    </w:sdtContent>
  </w:sdt>
  <w:p w14:paraId="03B66A20" w14:textId="04D8CEBD" w:rsidR="0033476B" w:rsidRPr="0033476B" w:rsidRDefault="0033476B" w:rsidP="0033476B">
    <w:pPr>
      <w:pStyle w:val="Footer"/>
      <w:ind w:right="284"/>
      <w:jc w:val="right"/>
      <w:rPr>
        <w:color w:val="C24227"/>
        <w:sz w:val="21"/>
        <w:szCs w:val="21"/>
      </w:rPr>
    </w:pPr>
    <w:r w:rsidRPr="0033476B">
      <w:rPr>
        <w:color w:val="C24227"/>
        <w:sz w:val="20"/>
        <w:szCs w:val="20"/>
      </w:rPr>
      <w:t xml:space="preserve">Job Description </w:t>
    </w:r>
    <w:r w:rsidR="001B54FD" w:rsidRPr="0033476B">
      <w:rPr>
        <w:color w:val="C24227"/>
        <w:sz w:val="20"/>
        <w:szCs w:val="20"/>
      </w:rPr>
      <w:t>Form</w:t>
    </w:r>
    <w:r w:rsidR="001B54FD">
      <w:rPr>
        <w:color w:val="C24227"/>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F1AD5" w14:textId="77777777" w:rsidR="00DB08AF" w:rsidRDefault="00DB08AF" w:rsidP="00756536">
      <w:pPr>
        <w:spacing w:after="0" w:line="240" w:lineRule="auto"/>
      </w:pPr>
      <w:r>
        <w:separator/>
      </w:r>
    </w:p>
  </w:footnote>
  <w:footnote w:type="continuationSeparator" w:id="0">
    <w:p w14:paraId="2A2DB8D5" w14:textId="77777777" w:rsidR="00DB08AF" w:rsidRDefault="00DB08AF" w:rsidP="0075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8DCB9" w14:textId="6D563911" w:rsidR="00756536" w:rsidRDefault="00756536">
    <w:pPr>
      <w:pStyle w:val="Header"/>
    </w:pPr>
    <w:r>
      <w:rPr>
        <w:noProof/>
      </w:rPr>
      <w:drawing>
        <wp:anchor distT="0" distB="0" distL="114300" distR="114300" simplePos="0" relativeHeight="251658240" behindDoc="1" locked="0" layoutInCell="1" allowOverlap="1" wp14:anchorId="57D31028" wp14:editId="51A2CA44">
          <wp:simplePos x="0" y="0"/>
          <wp:positionH relativeFrom="page">
            <wp:posOffset>3383967</wp:posOffset>
          </wp:positionH>
          <wp:positionV relativeFrom="paragraph">
            <wp:posOffset>-450215</wp:posOffset>
          </wp:positionV>
          <wp:extent cx="4192990" cy="873303"/>
          <wp:effectExtent l="0" t="0" r="0" b="3175"/>
          <wp:wrapNone/>
          <wp:docPr id="381830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2948"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220137" cy="8789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BAA66" w14:textId="695D9430" w:rsidR="00756536" w:rsidRPr="00756536" w:rsidRDefault="00C26E45" w:rsidP="00756536">
    <w:pPr>
      <w:pStyle w:val="Header"/>
    </w:pPr>
    <w:r>
      <w:rPr>
        <w:noProof/>
      </w:rPr>
      <w:drawing>
        <wp:anchor distT="0" distB="0" distL="114300" distR="114300" simplePos="0" relativeHeight="251664384" behindDoc="0" locked="0" layoutInCell="1" allowOverlap="1" wp14:anchorId="460AE528" wp14:editId="51C3B668">
          <wp:simplePos x="0" y="0"/>
          <wp:positionH relativeFrom="column">
            <wp:posOffset>-741045</wp:posOffset>
          </wp:positionH>
          <wp:positionV relativeFrom="paragraph">
            <wp:posOffset>-457314</wp:posOffset>
          </wp:positionV>
          <wp:extent cx="7639685" cy="1900555"/>
          <wp:effectExtent l="0" t="0" r="5715" b="0"/>
          <wp:wrapThrough wrapText="bothSides">
            <wp:wrapPolygon edited="0">
              <wp:start x="14578" y="0"/>
              <wp:lineTo x="14291" y="2309"/>
              <wp:lineTo x="3950" y="3753"/>
              <wp:lineTo x="2514" y="4041"/>
              <wp:lineTo x="2406" y="6928"/>
              <wp:lineTo x="2226" y="8372"/>
              <wp:lineTo x="2334" y="9238"/>
              <wp:lineTo x="2190" y="9671"/>
              <wp:lineTo x="2334" y="10248"/>
              <wp:lineTo x="15440" y="11547"/>
              <wp:lineTo x="2119" y="13856"/>
              <wp:lineTo x="2154" y="16166"/>
              <wp:lineTo x="5602" y="16166"/>
              <wp:lineTo x="3950" y="17609"/>
              <wp:lineTo x="3734" y="17898"/>
              <wp:lineTo x="3734" y="18475"/>
              <wp:lineTo x="0" y="18475"/>
              <wp:lineTo x="0" y="20640"/>
              <wp:lineTo x="1185" y="20929"/>
              <wp:lineTo x="18025" y="21362"/>
              <wp:lineTo x="20359" y="21362"/>
              <wp:lineTo x="20431" y="21073"/>
              <wp:lineTo x="21580" y="20351"/>
              <wp:lineTo x="21580" y="0"/>
              <wp:lineTo x="14578" y="0"/>
            </wp:wrapPolygon>
          </wp:wrapThrough>
          <wp:docPr id="816148424" name="Picture 1" descr="A line of white dots with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3251" name="Picture 1" descr="A line of white dots with orang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9685" cy="19005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C40"/>
    <w:multiLevelType w:val="hybridMultilevel"/>
    <w:tmpl w:val="6B2841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03920"/>
    <w:multiLevelType w:val="hybridMultilevel"/>
    <w:tmpl w:val="5FF6B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84002A"/>
    <w:multiLevelType w:val="hybridMultilevel"/>
    <w:tmpl w:val="135E59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3918FD"/>
    <w:multiLevelType w:val="hybridMultilevel"/>
    <w:tmpl w:val="152A3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3304FD"/>
    <w:multiLevelType w:val="multilevel"/>
    <w:tmpl w:val="F2346CE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720593"/>
    <w:multiLevelType w:val="hybridMultilevel"/>
    <w:tmpl w:val="EF485C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940EAF"/>
    <w:multiLevelType w:val="hybridMultilevel"/>
    <w:tmpl w:val="14C64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D96BA4"/>
    <w:multiLevelType w:val="hybridMultilevel"/>
    <w:tmpl w:val="A2008B64"/>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B33127"/>
    <w:multiLevelType w:val="hybridMultilevel"/>
    <w:tmpl w:val="E08053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2B9D676C"/>
    <w:multiLevelType w:val="hybridMultilevel"/>
    <w:tmpl w:val="CAD4D270"/>
    <w:lvl w:ilvl="0" w:tplc="D30C1B6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321244"/>
    <w:multiLevelType w:val="hybridMultilevel"/>
    <w:tmpl w:val="52AE7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4E20D1"/>
    <w:multiLevelType w:val="hybridMultilevel"/>
    <w:tmpl w:val="D624B042"/>
    <w:lvl w:ilvl="0" w:tplc="A1C46D56">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53A2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586DB0"/>
    <w:multiLevelType w:val="hybridMultilevel"/>
    <w:tmpl w:val="2D242FC4"/>
    <w:lvl w:ilvl="0" w:tplc="D30C1B62">
      <w:start w:val="1"/>
      <w:numFmt w:val="decimal"/>
      <w:lvlText w:val="%1."/>
      <w:lvlJc w:val="left"/>
      <w:pPr>
        <w:ind w:left="720" w:hanging="72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AD51EC8"/>
    <w:multiLevelType w:val="hybridMultilevel"/>
    <w:tmpl w:val="BCAA3E22"/>
    <w:lvl w:ilvl="0" w:tplc="E3EC7B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F81C4F"/>
    <w:multiLevelType w:val="hybridMultilevel"/>
    <w:tmpl w:val="6C509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713B70"/>
    <w:multiLevelType w:val="hybridMultilevel"/>
    <w:tmpl w:val="CCE88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74AEC"/>
    <w:multiLevelType w:val="hybridMultilevel"/>
    <w:tmpl w:val="2A82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E1A53"/>
    <w:multiLevelType w:val="hybridMultilevel"/>
    <w:tmpl w:val="44D05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C22E9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BBD392A"/>
    <w:multiLevelType w:val="hybridMultilevel"/>
    <w:tmpl w:val="F6E8A39A"/>
    <w:lvl w:ilvl="0" w:tplc="0C090001">
      <w:start w:val="1"/>
      <w:numFmt w:val="bullet"/>
      <w:lvlText w:val=""/>
      <w:lvlJc w:val="left"/>
      <w:pPr>
        <w:ind w:left="72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0D7E84"/>
    <w:multiLevelType w:val="hybridMultilevel"/>
    <w:tmpl w:val="20747F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F1003"/>
    <w:multiLevelType w:val="multilevel"/>
    <w:tmpl w:val="D13433F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D75DAB"/>
    <w:multiLevelType w:val="hybridMultilevel"/>
    <w:tmpl w:val="677694C0"/>
    <w:lvl w:ilvl="0" w:tplc="9A5A07A0">
      <w:start w:val="1"/>
      <w:numFmt w:val="decimal"/>
      <w:lvlText w:val="%1."/>
      <w:lvlJc w:val="left"/>
      <w:pPr>
        <w:ind w:left="1447" w:hanging="540"/>
      </w:pPr>
      <w:rPr>
        <w:rFonts w:hint="default"/>
      </w:rPr>
    </w:lvl>
    <w:lvl w:ilvl="1" w:tplc="08090019" w:tentative="1">
      <w:start w:val="1"/>
      <w:numFmt w:val="lowerLetter"/>
      <w:lvlText w:val="%2."/>
      <w:lvlJc w:val="left"/>
      <w:pPr>
        <w:ind w:left="1987" w:hanging="360"/>
      </w:pPr>
    </w:lvl>
    <w:lvl w:ilvl="2" w:tplc="0809001B" w:tentative="1">
      <w:start w:val="1"/>
      <w:numFmt w:val="lowerRoman"/>
      <w:lvlText w:val="%3."/>
      <w:lvlJc w:val="right"/>
      <w:pPr>
        <w:ind w:left="2707" w:hanging="180"/>
      </w:pPr>
    </w:lvl>
    <w:lvl w:ilvl="3" w:tplc="0809000F" w:tentative="1">
      <w:start w:val="1"/>
      <w:numFmt w:val="decimal"/>
      <w:lvlText w:val="%4."/>
      <w:lvlJc w:val="left"/>
      <w:pPr>
        <w:ind w:left="3427" w:hanging="360"/>
      </w:pPr>
    </w:lvl>
    <w:lvl w:ilvl="4" w:tplc="08090019" w:tentative="1">
      <w:start w:val="1"/>
      <w:numFmt w:val="lowerLetter"/>
      <w:lvlText w:val="%5."/>
      <w:lvlJc w:val="left"/>
      <w:pPr>
        <w:ind w:left="4147" w:hanging="360"/>
      </w:pPr>
    </w:lvl>
    <w:lvl w:ilvl="5" w:tplc="0809001B" w:tentative="1">
      <w:start w:val="1"/>
      <w:numFmt w:val="lowerRoman"/>
      <w:lvlText w:val="%6."/>
      <w:lvlJc w:val="right"/>
      <w:pPr>
        <w:ind w:left="4867" w:hanging="180"/>
      </w:pPr>
    </w:lvl>
    <w:lvl w:ilvl="6" w:tplc="0809000F" w:tentative="1">
      <w:start w:val="1"/>
      <w:numFmt w:val="decimal"/>
      <w:lvlText w:val="%7."/>
      <w:lvlJc w:val="left"/>
      <w:pPr>
        <w:ind w:left="5587" w:hanging="360"/>
      </w:pPr>
    </w:lvl>
    <w:lvl w:ilvl="7" w:tplc="08090019" w:tentative="1">
      <w:start w:val="1"/>
      <w:numFmt w:val="lowerLetter"/>
      <w:lvlText w:val="%8."/>
      <w:lvlJc w:val="left"/>
      <w:pPr>
        <w:ind w:left="6307" w:hanging="360"/>
      </w:pPr>
    </w:lvl>
    <w:lvl w:ilvl="8" w:tplc="0809001B" w:tentative="1">
      <w:start w:val="1"/>
      <w:numFmt w:val="lowerRoman"/>
      <w:lvlText w:val="%9."/>
      <w:lvlJc w:val="right"/>
      <w:pPr>
        <w:ind w:left="7027" w:hanging="180"/>
      </w:pPr>
    </w:lvl>
  </w:abstractNum>
  <w:num w:numId="1" w16cid:durableId="1918785469">
    <w:abstractNumId w:val="10"/>
  </w:num>
  <w:num w:numId="2" w16cid:durableId="13762725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2348590">
    <w:abstractNumId w:val="8"/>
  </w:num>
  <w:num w:numId="4" w16cid:durableId="1326056679">
    <w:abstractNumId w:val="18"/>
  </w:num>
  <w:num w:numId="5" w16cid:durableId="165638337">
    <w:abstractNumId w:val="14"/>
  </w:num>
  <w:num w:numId="6" w16cid:durableId="1123695853">
    <w:abstractNumId w:val="13"/>
  </w:num>
  <w:num w:numId="7" w16cid:durableId="1581137968">
    <w:abstractNumId w:val="7"/>
  </w:num>
  <w:num w:numId="8" w16cid:durableId="210381380">
    <w:abstractNumId w:val="9"/>
  </w:num>
  <w:num w:numId="9" w16cid:durableId="1667249357">
    <w:abstractNumId w:val="23"/>
  </w:num>
  <w:num w:numId="10" w16cid:durableId="1636334645">
    <w:abstractNumId w:val="17"/>
  </w:num>
  <w:num w:numId="11" w16cid:durableId="1816409002">
    <w:abstractNumId w:val="11"/>
  </w:num>
  <w:num w:numId="12" w16cid:durableId="1771470451">
    <w:abstractNumId w:val="12"/>
  </w:num>
  <w:num w:numId="13" w16cid:durableId="2042582278">
    <w:abstractNumId w:val="22"/>
  </w:num>
  <w:num w:numId="14" w16cid:durableId="301085470">
    <w:abstractNumId w:val="19"/>
  </w:num>
  <w:num w:numId="15" w16cid:durableId="24185399">
    <w:abstractNumId w:val="4"/>
  </w:num>
  <w:num w:numId="16" w16cid:durableId="169490687">
    <w:abstractNumId w:val="15"/>
  </w:num>
  <w:num w:numId="17" w16cid:durableId="629700953">
    <w:abstractNumId w:val="3"/>
  </w:num>
  <w:num w:numId="18" w16cid:durableId="1341004227">
    <w:abstractNumId w:val="20"/>
  </w:num>
  <w:num w:numId="19" w16cid:durableId="330106084">
    <w:abstractNumId w:val="16"/>
  </w:num>
  <w:num w:numId="20" w16cid:durableId="1653100532">
    <w:abstractNumId w:val="6"/>
  </w:num>
  <w:num w:numId="21" w16cid:durableId="1178620492">
    <w:abstractNumId w:val="1"/>
  </w:num>
  <w:num w:numId="22" w16cid:durableId="1780490522">
    <w:abstractNumId w:val="5"/>
  </w:num>
  <w:num w:numId="23" w16cid:durableId="25257457">
    <w:abstractNumId w:val="21"/>
  </w:num>
  <w:num w:numId="24" w16cid:durableId="616450633">
    <w:abstractNumId w:val="2"/>
  </w:num>
  <w:num w:numId="25" w16cid:durableId="2041708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9A"/>
    <w:rsid w:val="00025438"/>
    <w:rsid w:val="00044FF3"/>
    <w:rsid w:val="00051CBF"/>
    <w:rsid w:val="0006478A"/>
    <w:rsid w:val="00070651"/>
    <w:rsid w:val="00083B4F"/>
    <w:rsid w:val="000A6FA1"/>
    <w:rsid w:val="000D0AF3"/>
    <w:rsid w:val="000D0F48"/>
    <w:rsid w:val="001134DD"/>
    <w:rsid w:val="00132369"/>
    <w:rsid w:val="001341B6"/>
    <w:rsid w:val="00145E44"/>
    <w:rsid w:val="001633FD"/>
    <w:rsid w:val="00167522"/>
    <w:rsid w:val="001744F5"/>
    <w:rsid w:val="001A50FB"/>
    <w:rsid w:val="001B27CF"/>
    <w:rsid w:val="001B52F9"/>
    <w:rsid w:val="001B54FD"/>
    <w:rsid w:val="001B78F5"/>
    <w:rsid w:val="001B7A87"/>
    <w:rsid w:val="001B7CD1"/>
    <w:rsid w:val="00204930"/>
    <w:rsid w:val="002156DB"/>
    <w:rsid w:val="002342EF"/>
    <w:rsid w:val="00246EF2"/>
    <w:rsid w:val="0024718E"/>
    <w:rsid w:val="00260B8D"/>
    <w:rsid w:val="002656BC"/>
    <w:rsid w:val="00280169"/>
    <w:rsid w:val="00280C06"/>
    <w:rsid w:val="00283EB7"/>
    <w:rsid w:val="002843C7"/>
    <w:rsid w:val="002874CE"/>
    <w:rsid w:val="002937C1"/>
    <w:rsid w:val="002956EB"/>
    <w:rsid w:val="00296FEC"/>
    <w:rsid w:val="002B657B"/>
    <w:rsid w:val="002D3E24"/>
    <w:rsid w:val="002F64E9"/>
    <w:rsid w:val="00300C8A"/>
    <w:rsid w:val="0030375D"/>
    <w:rsid w:val="0033476B"/>
    <w:rsid w:val="003522C2"/>
    <w:rsid w:val="0036514A"/>
    <w:rsid w:val="00394896"/>
    <w:rsid w:val="00394B17"/>
    <w:rsid w:val="003A12FE"/>
    <w:rsid w:val="003A787A"/>
    <w:rsid w:val="003C1C26"/>
    <w:rsid w:val="003D0A66"/>
    <w:rsid w:val="00414112"/>
    <w:rsid w:val="00422282"/>
    <w:rsid w:val="00430199"/>
    <w:rsid w:val="00430D2F"/>
    <w:rsid w:val="00462800"/>
    <w:rsid w:val="004658EA"/>
    <w:rsid w:val="00471F7F"/>
    <w:rsid w:val="00477E21"/>
    <w:rsid w:val="00494398"/>
    <w:rsid w:val="00497F38"/>
    <w:rsid w:val="004A3655"/>
    <w:rsid w:val="004A4EC3"/>
    <w:rsid w:val="004B2309"/>
    <w:rsid w:val="004C7E95"/>
    <w:rsid w:val="004E000D"/>
    <w:rsid w:val="004E1073"/>
    <w:rsid w:val="004E2FC6"/>
    <w:rsid w:val="004F457E"/>
    <w:rsid w:val="005257D4"/>
    <w:rsid w:val="00536F4B"/>
    <w:rsid w:val="0057229A"/>
    <w:rsid w:val="005A2699"/>
    <w:rsid w:val="005A2701"/>
    <w:rsid w:val="005E2416"/>
    <w:rsid w:val="005F483B"/>
    <w:rsid w:val="00601500"/>
    <w:rsid w:val="00631D31"/>
    <w:rsid w:val="00647E4B"/>
    <w:rsid w:val="00663B85"/>
    <w:rsid w:val="0068201A"/>
    <w:rsid w:val="00686F75"/>
    <w:rsid w:val="006C1C4D"/>
    <w:rsid w:val="006C2F8C"/>
    <w:rsid w:val="006D03B1"/>
    <w:rsid w:val="006F17A8"/>
    <w:rsid w:val="00721C5E"/>
    <w:rsid w:val="00727985"/>
    <w:rsid w:val="00733555"/>
    <w:rsid w:val="007421AD"/>
    <w:rsid w:val="00746389"/>
    <w:rsid w:val="00756536"/>
    <w:rsid w:val="007734E6"/>
    <w:rsid w:val="0078067E"/>
    <w:rsid w:val="00791921"/>
    <w:rsid w:val="007A0EFF"/>
    <w:rsid w:val="007A1F18"/>
    <w:rsid w:val="007B2076"/>
    <w:rsid w:val="007D5860"/>
    <w:rsid w:val="007E7FB0"/>
    <w:rsid w:val="00814628"/>
    <w:rsid w:val="0084252E"/>
    <w:rsid w:val="008531F0"/>
    <w:rsid w:val="00892424"/>
    <w:rsid w:val="008947AE"/>
    <w:rsid w:val="008A3F8E"/>
    <w:rsid w:val="008E0484"/>
    <w:rsid w:val="008E36D7"/>
    <w:rsid w:val="009075E2"/>
    <w:rsid w:val="009514B1"/>
    <w:rsid w:val="0095755A"/>
    <w:rsid w:val="00961CC9"/>
    <w:rsid w:val="00971722"/>
    <w:rsid w:val="009C0ED6"/>
    <w:rsid w:val="009F406B"/>
    <w:rsid w:val="00A00DF9"/>
    <w:rsid w:val="00A2480E"/>
    <w:rsid w:val="00A254A1"/>
    <w:rsid w:val="00A274B9"/>
    <w:rsid w:val="00A40911"/>
    <w:rsid w:val="00A518E1"/>
    <w:rsid w:val="00A72186"/>
    <w:rsid w:val="00A86D4C"/>
    <w:rsid w:val="00A93FF1"/>
    <w:rsid w:val="00A972A4"/>
    <w:rsid w:val="00AA416A"/>
    <w:rsid w:val="00AA4641"/>
    <w:rsid w:val="00AC584F"/>
    <w:rsid w:val="00AC73F2"/>
    <w:rsid w:val="00AE1B75"/>
    <w:rsid w:val="00B1554C"/>
    <w:rsid w:val="00B46FBB"/>
    <w:rsid w:val="00B646FB"/>
    <w:rsid w:val="00B8027B"/>
    <w:rsid w:val="00B96037"/>
    <w:rsid w:val="00BB541C"/>
    <w:rsid w:val="00BC5C3F"/>
    <w:rsid w:val="00BD1B8C"/>
    <w:rsid w:val="00BE399E"/>
    <w:rsid w:val="00C12F9A"/>
    <w:rsid w:val="00C14680"/>
    <w:rsid w:val="00C15B56"/>
    <w:rsid w:val="00C201F1"/>
    <w:rsid w:val="00C26E45"/>
    <w:rsid w:val="00C45F38"/>
    <w:rsid w:val="00C47631"/>
    <w:rsid w:val="00C54A97"/>
    <w:rsid w:val="00C639AF"/>
    <w:rsid w:val="00C86886"/>
    <w:rsid w:val="00CD00BF"/>
    <w:rsid w:val="00CD0B02"/>
    <w:rsid w:val="00CF070B"/>
    <w:rsid w:val="00D007E3"/>
    <w:rsid w:val="00D173A8"/>
    <w:rsid w:val="00D2368C"/>
    <w:rsid w:val="00D718AA"/>
    <w:rsid w:val="00D71E76"/>
    <w:rsid w:val="00D732A5"/>
    <w:rsid w:val="00D7570D"/>
    <w:rsid w:val="00D801DC"/>
    <w:rsid w:val="00DB08AF"/>
    <w:rsid w:val="00DF1A44"/>
    <w:rsid w:val="00DF4B7C"/>
    <w:rsid w:val="00DF7BA5"/>
    <w:rsid w:val="00E02BA3"/>
    <w:rsid w:val="00E14F0F"/>
    <w:rsid w:val="00E20BE0"/>
    <w:rsid w:val="00E23326"/>
    <w:rsid w:val="00E4641B"/>
    <w:rsid w:val="00E61CE6"/>
    <w:rsid w:val="00EA11AC"/>
    <w:rsid w:val="00EC7340"/>
    <w:rsid w:val="00ED18BE"/>
    <w:rsid w:val="00ED68B9"/>
    <w:rsid w:val="00ED7D74"/>
    <w:rsid w:val="00EE13A1"/>
    <w:rsid w:val="00EF2F5D"/>
    <w:rsid w:val="00F02587"/>
    <w:rsid w:val="00F156D2"/>
    <w:rsid w:val="00F167A5"/>
    <w:rsid w:val="00F51C71"/>
    <w:rsid w:val="00F83509"/>
    <w:rsid w:val="00F95B4C"/>
    <w:rsid w:val="00FA1359"/>
    <w:rsid w:val="00FA7287"/>
    <w:rsid w:val="00FB2D81"/>
    <w:rsid w:val="00FD7C45"/>
    <w:rsid w:val="00FE0D47"/>
    <w:rsid w:val="00FE5411"/>
    <w:rsid w:val="00FF3F69"/>
    <w:rsid w:val="00FF59C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EB4C"/>
  <w15:chartTrackingRefBased/>
  <w15:docId w15:val="{E41A61B4-C81E-8D47-A1B7-6C76C9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
    <w:qFormat/>
    <w:rsid w:val="00FB2D81"/>
    <w:pPr>
      <w:spacing w:after="160" w:line="259" w:lineRule="auto"/>
    </w:pPr>
    <w:rPr>
      <w:rFonts w:ascii="Arial" w:hAnsi="Arial" w:cs="Arial"/>
    </w:rPr>
  </w:style>
  <w:style w:type="paragraph" w:styleId="Heading1">
    <w:name w:val="heading 1"/>
    <w:aliases w:val="DPC H1"/>
    <w:basedOn w:val="Normal"/>
    <w:next w:val="Normal"/>
    <w:link w:val="Heading1Char"/>
    <w:uiPriority w:val="9"/>
    <w:qFormat/>
    <w:rsid w:val="00FB2D81"/>
    <w:pPr>
      <w:keepNext/>
      <w:keepLines/>
      <w:spacing w:before="360" w:after="120"/>
      <w:outlineLvl w:val="0"/>
    </w:pPr>
    <w:rPr>
      <w:rFonts w:eastAsiaTheme="majorEastAsia" w:cs="Times New Roman (Headings CS)"/>
      <w:b/>
      <w:color w:val="CC5733"/>
      <w:sz w:val="40"/>
      <w:szCs w:val="32"/>
    </w:rPr>
  </w:style>
  <w:style w:type="paragraph" w:styleId="Heading2">
    <w:name w:val="heading 2"/>
    <w:aliases w:val="DPC H2"/>
    <w:basedOn w:val="Normal"/>
    <w:next w:val="Normal"/>
    <w:link w:val="Heading2Char"/>
    <w:uiPriority w:val="9"/>
    <w:unhideWhenUsed/>
    <w:qFormat/>
    <w:rsid w:val="00FB2D81"/>
    <w:pPr>
      <w:keepNext/>
      <w:keepLines/>
      <w:spacing w:before="360" w:after="120"/>
      <w:outlineLvl w:val="1"/>
    </w:pPr>
    <w:rPr>
      <w:rFonts w:eastAsiaTheme="majorEastAsia" w:cs="Times New Roman (Headings CS)"/>
      <w:b/>
      <w:color w:val="CC5733"/>
      <w:sz w:val="32"/>
      <w:szCs w:val="26"/>
    </w:rPr>
  </w:style>
  <w:style w:type="paragraph" w:styleId="Heading3">
    <w:name w:val="heading 3"/>
    <w:aliases w:val="DPC H3"/>
    <w:basedOn w:val="Normal"/>
    <w:next w:val="Normal"/>
    <w:link w:val="Heading3Char"/>
    <w:uiPriority w:val="9"/>
    <w:unhideWhenUsed/>
    <w:qFormat/>
    <w:rsid w:val="00C45F38"/>
    <w:pPr>
      <w:keepNext/>
      <w:keepLines/>
      <w:spacing w:before="240" w:after="120"/>
      <w:outlineLvl w:val="2"/>
    </w:pPr>
    <w:rPr>
      <w:rFonts w:eastAsiaTheme="majorEastAsia" w:cs="Times New Roman (Headings CS)"/>
      <w:b/>
      <w:color w:val="000000" w:themeColor="text1"/>
      <w:sz w:val="28"/>
    </w:rPr>
  </w:style>
  <w:style w:type="paragraph" w:styleId="Heading4">
    <w:name w:val="heading 4"/>
    <w:basedOn w:val="Normal"/>
    <w:next w:val="Normal"/>
    <w:link w:val="Heading4Char"/>
    <w:uiPriority w:val="9"/>
    <w:unhideWhenUsed/>
    <w:rsid w:val="00C45F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12F9A"/>
    <w:pPr>
      <w:autoSpaceDE w:val="0"/>
      <w:autoSpaceDN w:val="0"/>
      <w:adjustRightInd w:val="0"/>
    </w:pPr>
    <w:rPr>
      <w:rFonts w:ascii="Neue Haas Grotesk Text Pro" w:hAnsi="Neue Haas Grotesk Text Pro" w:cs="Neue Haas Grotesk Text Pro"/>
      <w:color w:val="000000"/>
      <w:lang w:val="en-GB"/>
    </w:rPr>
  </w:style>
  <w:style w:type="table" w:styleId="PlainTable3">
    <w:name w:val="Plain Table 3"/>
    <w:basedOn w:val="TableNormal"/>
    <w:uiPriority w:val="43"/>
    <w:rsid w:val="00C12F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C12F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12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Footer">
    <w:name w:val="footer"/>
    <w:basedOn w:val="Normal"/>
    <w:link w:val="FooterChar"/>
    <w:uiPriority w:val="99"/>
    <w:unhideWhenUsed/>
    <w:rsid w:val="0075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536"/>
    <w:rPr>
      <w:rFonts w:ascii="Arial" w:hAnsi="Arial" w:cs="Arial"/>
      <w:b w:val="0"/>
      <w:i w:val="0"/>
      <w:caps w:val="0"/>
      <w:smallCaps w:val="0"/>
      <w:strike w:val="0"/>
      <w:dstrike w:val="0"/>
      <w:vanish w:val="0"/>
      <w:color w:val="000000" w:themeColor="text1"/>
      <w:sz w:val="24"/>
      <w:vertAlign w:val="baseline"/>
    </w:rPr>
  </w:style>
  <w:style w:type="paragraph" w:styleId="ListParagraph">
    <w:name w:val="List Paragraph"/>
    <w:aliases w:val="DPC List Paragraph P"/>
    <w:basedOn w:val="Normal"/>
    <w:uiPriority w:val="34"/>
    <w:qFormat/>
    <w:rsid w:val="00C45F38"/>
    <w:pPr>
      <w:spacing w:after="120" w:line="240" w:lineRule="auto"/>
      <w:ind w:left="907"/>
    </w:pPr>
    <w:rPr>
      <w:rFonts w:cs="Calibri"/>
      <w:color w:val="000000" w:themeColor="text1"/>
      <w:szCs w:val="22"/>
      <w14:ligatures w14:val="standardContextual"/>
    </w:rPr>
  </w:style>
  <w:style w:type="character" w:styleId="Hyperlink">
    <w:name w:val="Hyperlink"/>
    <w:uiPriority w:val="99"/>
    <w:unhideWhenUsed/>
    <w:rsid w:val="00AC73F2"/>
    <w:rPr>
      <w:rFonts w:ascii="Arial" w:hAnsi="Arial"/>
      <w:b w:val="0"/>
      <w:i w:val="0"/>
      <w:color w:val="6AA489"/>
      <w:sz w:val="24"/>
      <w:u w:val="single"/>
    </w:rPr>
  </w:style>
  <w:style w:type="character" w:customStyle="1" w:styleId="Heading2Char">
    <w:name w:val="Heading 2 Char"/>
    <w:aliases w:val="DPC H2 Char"/>
    <w:basedOn w:val="DefaultParagraphFont"/>
    <w:link w:val="Heading2"/>
    <w:uiPriority w:val="9"/>
    <w:rsid w:val="00FB2D81"/>
    <w:rPr>
      <w:rFonts w:ascii="Arial" w:eastAsiaTheme="majorEastAsia" w:hAnsi="Arial" w:cs="Times New Roman (Headings CS)"/>
      <w:b/>
      <w:i w:val="0"/>
      <w:caps w:val="0"/>
      <w:smallCaps w:val="0"/>
      <w:strike w:val="0"/>
      <w:dstrike w:val="0"/>
      <w:vanish w:val="0"/>
      <w:color w:val="CC5733"/>
      <w:sz w:val="32"/>
      <w:szCs w:val="26"/>
      <w:vertAlign w:val="baseline"/>
    </w:rPr>
  </w:style>
  <w:style w:type="character" w:customStyle="1" w:styleId="Heading3Char">
    <w:name w:val="Heading 3 Char"/>
    <w:aliases w:val="DPC H3 Char"/>
    <w:basedOn w:val="DefaultParagraphFont"/>
    <w:link w:val="Heading3"/>
    <w:uiPriority w:val="9"/>
    <w:rsid w:val="00C45F38"/>
    <w:rPr>
      <w:rFonts w:ascii="Arial" w:eastAsiaTheme="majorEastAsia" w:hAnsi="Arial" w:cs="Times New Roman (Headings CS)"/>
      <w:b/>
      <w:i w:val="0"/>
      <w:caps w:val="0"/>
      <w:smallCaps w:val="0"/>
      <w:strike w:val="0"/>
      <w:dstrike w:val="0"/>
      <w:vanish w:val="0"/>
      <w:color w:val="000000" w:themeColor="text1"/>
      <w:sz w:val="28"/>
      <w:vertAlign w:val="baseline"/>
    </w:rPr>
  </w:style>
  <w:style w:type="character" w:customStyle="1" w:styleId="Heading1Char">
    <w:name w:val="Heading 1 Char"/>
    <w:aliases w:val="DPC H1 Char"/>
    <w:basedOn w:val="DefaultParagraphFont"/>
    <w:link w:val="Heading1"/>
    <w:uiPriority w:val="9"/>
    <w:rsid w:val="00FB2D81"/>
    <w:rPr>
      <w:rFonts w:ascii="Arial" w:eastAsiaTheme="majorEastAsia" w:hAnsi="Arial" w:cs="Times New Roman (Headings CS)"/>
      <w:b/>
      <w:i w:val="0"/>
      <w:caps w:val="0"/>
      <w:smallCaps w:val="0"/>
      <w:strike w:val="0"/>
      <w:dstrike w:val="0"/>
      <w:vanish w:val="0"/>
      <w:color w:val="CC5733"/>
      <w:sz w:val="40"/>
      <w:szCs w:val="32"/>
      <w:vertAlign w:val="baseline"/>
    </w:rPr>
  </w:style>
  <w:style w:type="paragraph" w:styleId="NoSpacing">
    <w:name w:val="No Spacing"/>
    <w:uiPriority w:val="1"/>
    <w:rsid w:val="00FB2D81"/>
    <w:rPr>
      <w:rFonts w:ascii="Arial" w:hAnsi="Arial" w:cs="Arial"/>
    </w:rPr>
  </w:style>
  <w:style w:type="character" w:customStyle="1" w:styleId="Heading4Char">
    <w:name w:val="Heading 4 Char"/>
    <w:basedOn w:val="DefaultParagraphFont"/>
    <w:link w:val="Heading4"/>
    <w:uiPriority w:val="9"/>
    <w:rsid w:val="00C45F38"/>
    <w:rPr>
      <w:rFonts w:asciiTheme="majorHAnsi" w:eastAsiaTheme="majorEastAsia" w:hAnsiTheme="majorHAnsi" w:cstheme="majorBidi"/>
      <w:b w:val="0"/>
      <w:i/>
      <w:iCs/>
      <w:caps w:val="0"/>
      <w:smallCaps w:val="0"/>
      <w:strike w:val="0"/>
      <w:dstrike w:val="0"/>
      <w:vanish w:val="0"/>
      <w:color w:val="2F5496" w:themeColor="accent1" w:themeShade="BF"/>
      <w:sz w:val="24"/>
      <w:vertAlign w:val="baseline"/>
    </w:rPr>
  </w:style>
  <w:style w:type="character" w:styleId="IntenseEmphasis">
    <w:name w:val="Intense Emphasis"/>
    <w:basedOn w:val="DefaultParagraphFont"/>
    <w:uiPriority w:val="21"/>
    <w:rsid w:val="00C45F38"/>
    <w:rPr>
      <w:rFonts w:ascii="Arial" w:hAnsi="Arial"/>
      <w:b w:val="0"/>
      <w:i/>
      <w:iCs/>
      <w:caps w:val="0"/>
      <w:smallCaps w:val="0"/>
      <w:strike w:val="0"/>
      <w:dstrike w:val="0"/>
      <w:vanish w:val="0"/>
      <w:color w:val="4472C4" w:themeColor="accent1"/>
      <w:sz w:val="24"/>
      <w:vertAlign w:val="baseline"/>
    </w:rPr>
  </w:style>
  <w:style w:type="paragraph" w:customStyle="1" w:styleId="Formfields">
    <w:name w:val="Form fields"/>
    <w:basedOn w:val="Default"/>
    <w:qFormat/>
    <w:rsid w:val="00C45F38"/>
    <w:pPr>
      <w:framePr w:hSpace="180" w:wrap="around" w:vAnchor="text" w:hAnchor="text" w:y="1"/>
      <w:suppressOverlap/>
    </w:pPr>
    <w:rPr>
      <w:rFonts w:ascii="Arial" w:hAnsi="Arial"/>
      <w:color w:val="CC5733"/>
    </w:rPr>
  </w:style>
  <w:style w:type="character" w:styleId="SubtleEmphasis">
    <w:name w:val="Subtle Emphasis"/>
    <w:basedOn w:val="DefaultParagraphFont"/>
    <w:uiPriority w:val="19"/>
    <w:rsid w:val="00C45F38"/>
    <w:rPr>
      <w:rFonts w:ascii="Arial" w:hAnsi="Arial"/>
      <w:b w:val="0"/>
      <w:i/>
      <w:iCs/>
      <w:caps w:val="0"/>
      <w:smallCaps w:val="0"/>
      <w:strike w:val="0"/>
      <w:dstrike w:val="0"/>
      <w:vanish w:val="0"/>
      <w:color w:val="404040" w:themeColor="text1" w:themeTint="BF"/>
      <w:sz w:val="24"/>
      <w:vertAlign w:val="baseline"/>
    </w:rPr>
  </w:style>
  <w:style w:type="character" w:styleId="FollowedHyperlink">
    <w:name w:val="FollowedHyperlink"/>
    <w:basedOn w:val="DefaultParagraphFont"/>
    <w:uiPriority w:val="99"/>
    <w:semiHidden/>
    <w:unhideWhenUsed/>
    <w:rsid w:val="00AC73F2"/>
    <w:rPr>
      <w:rFonts w:ascii="Arial" w:hAnsi="Arial"/>
      <w:b w:val="0"/>
      <w:i w:val="0"/>
      <w:caps w:val="0"/>
      <w:smallCaps w:val="0"/>
      <w:strike w:val="0"/>
      <w:dstrike w:val="0"/>
      <w:vanish w:val="0"/>
      <w:color w:val="954F72" w:themeColor="followedHyperlink"/>
      <w:sz w:val="24"/>
      <w:u w:val="single"/>
      <w:vertAlign w:val="baseline"/>
    </w:rPr>
  </w:style>
  <w:style w:type="paragraph" w:styleId="Revision">
    <w:name w:val="Revision"/>
    <w:hidden/>
    <w:uiPriority w:val="99"/>
    <w:semiHidden/>
    <w:rsid w:val="00A00DF9"/>
    <w:rPr>
      <w:rFonts w:ascii="Arial" w:hAnsi="Arial" w:cs="Arial"/>
    </w:rPr>
  </w:style>
  <w:style w:type="character" w:styleId="CommentReference">
    <w:name w:val="annotation reference"/>
    <w:basedOn w:val="DefaultParagraphFont"/>
    <w:uiPriority w:val="99"/>
    <w:semiHidden/>
    <w:unhideWhenUsed/>
    <w:rsid w:val="008A3F8E"/>
    <w:rPr>
      <w:sz w:val="16"/>
      <w:szCs w:val="16"/>
    </w:rPr>
  </w:style>
  <w:style w:type="paragraph" w:styleId="CommentText">
    <w:name w:val="annotation text"/>
    <w:basedOn w:val="Normal"/>
    <w:link w:val="CommentTextChar"/>
    <w:uiPriority w:val="99"/>
    <w:unhideWhenUsed/>
    <w:rsid w:val="008A3F8E"/>
    <w:pPr>
      <w:spacing w:line="240" w:lineRule="auto"/>
    </w:pPr>
    <w:rPr>
      <w:sz w:val="20"/>
      <w:szCs w:val="20"/>
    </w:rPr>
  </w:style>
  <w:style w:type="character" w:customStyle="1" w:styleId="CommentTextChar">
    <w:name w:val="Comment Text Char"/>
    <w:basedOn w:val="DefaultParagraphFont"/>
    <w:link w:val="CommentText"/>
    <w:uiPriority w:val="99"/>
    <w:rsid w:val="008A3F8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A3F8E"/>
    <w:rPr>
      <w:b/>
      <w:bCs/>
    </w:rPr>
  </w:style>
  <w:style w:type="character" w:customStyle="1" w:styleId="CommentSubjectChar">
    <w:name w:val="Comment Subject Char"/>
    <w:basedOn w:val="CommentTextChar"/>
    <w:link w:val="CommentSubject"/>
    <w:uiPriority w:val="99"/>
    <w:semiHidden/>
    <w:rsid w:val="008A3F8E"/>
    <w:rPr>
      <w:rFonts w:ascii="Arial" w:hAnsi="Arial" w:cs="Arial"/>
      <w:b/>
      <w:bCs/>
      <w:sz w:val="20"/>
      <w:szCs w:val="20"/>
    </w:rPr>
  </w:style>
  <w:style w:type="character" w:styleId="PageNumber">
    <w:name w:val="page number"/>
    <w:basedOn w:val="DefaultParagraphFont"/>
    <w:uiPriority w:val="99"/>
    <w:semiHidden/>
    <w:unhideWhenUsed/>
    <w:rsid w:val="0033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16343">
      <w:bodyDiv w:val="1"/>
      <w:marLeft w:val="0"/>
      <w:marRight w:val="0"/>
      <w:marTop w:val="0"/>
      <w:marBottom w:val="0"/>
      <w:divBdr>
        <w:top w:val="none" w:sz="0" w:space="0" w:color="auto"/>
        <w:left w:val="none" w:sz="0" w:space="0" w:color="auto"/>
        <w:bottom w:val="none" w:sz="0" w:space="0" w:color="auto"/>
        <w:right w:val="none" w:sz="0" w:space="0" w:color="auto"/>
      </w:divBdr>
    </w:div>
    <w:div w:id="686754877">
      <w:bodyDiv w:val="1"/>
      <w:marLeft w:val="0"/>
      <w:marRight w:val="0"/>
      <w:marTop w:val="0"/>
      <w:marBottom w:val="0"/>
      <w:divBdr>
        <w:top w:val="none" w:sz="0" w:space="0" w:color="auto"/>
        <w:left w:val="none" w:sz="0" w:space="0" w:color="auto"/>
        <w:bottom w:val="none" w:sz="0" w:space="0" w:color="auto"/>
        <w:right w:val="none" w:sz="0" w:space="0" w:color="auto"/>
      </w:divBdr>
    </w:div>
    <w:div w:id="690566990">
      <w:bodyDiv w:val="1"/>
      <w:marLeft w:val="0"/>
      <w:marRight w:val="0"/>
      <w:marTop w:val="0"/>
      <w:marBottom w:val="0"/>
      <w:divBdr>
        <w:top w:val="none" w:sz="0" w:space="0" w:color="auto"/>
        <w:left w:val="none" w:sz="0" w:space="0" w:color="auto"/>
        <w:bottom w:val="none" w:sz="0" w:space="0" w:color="auto"/>
        <w:right w:val="none" w:sz="0" w:space="0" w:color="auto"/>
      </w:divBdr>
    </w:div>
    <w:div w:id="1173446870">
      <w:bodyDiv w:val="1"/>
      <w:marLeft w:val="0"/>
      <w:marRight w:val="0"/>
      <w:marTop w:val="0"/>
      <w:marBottom w:val="0"/>
      <w:divBdr>
        <w:top w:val="none" w:sz="0" w:space="0" w:color="auto"/>
        <w:left w:val="none" w:sz="0" w:space="0" w:color="auto"/>
        <w:bottom w:val="none" w:sz="0" w:space="0" w:color="auto"/>
        <w:right w:val="none" w:sz="0" w:space="0" w:color="auto"/>
      </w:divBdr>
    </w:div>
    <w:div w:id="1503282031">
      <w:bodyDiv w:val="1"/>
      <w:marLeft w:val="0"/>
      <w:marRight w:val="0"/>
      <w:marTop w:val="0"/>
      <w:marBottom w:val="0"/>
      <w:divBdr>
        <w:top w:val="none" w:sz="0" w:space="0" w:color="auto"/>
        <w:left w:val="none" w:sz="0" w:space="0" w:color="auto"/>
        <w:bottom w:val="none" w:sz="0" w:space="0" w:color="auto"/>
        <w:right w:val="none" w:sz="0" w:space="0" w:color="auto"/>
      </w:divBdr>
    </w:div>
    <w:div w:id="1520848446">
      <w:bodyDiv w:val="1"/>
      <w:marLeft w:val="0"/>
      <w:marRight w:val="0"/>
      <w:marTop w:val="0"/>
      <w:marBottom w:val="0"/>
      <w:divBdr>
        <w:top w:val="none" w:sz="0" w:space="0" w:color="auto"/>
        <w:left w:val="none" w:sz="0" w:space="0" w:color="auto"/>
        <w:bottom w:val="none" w:sz="0" w:space="0" w:color="auto"/>
        <w:right w:val="none" w:sz="0" w:space="0" w:color="auto"/>
      </w:divBdr>
    </w:div>
    <w:div w:id="1550722524">
      <w:bodyDiv w:val="1"/>
      <w:marLeft w:val="0"/>
      <w:marRight w:val="0"/>
      <w:marTop w:val="0"/>
      <w:marBottom w:val="0"/>
      <w:divBdr>
        <w:top w:val="none" w:sz="0" w:space="0" w:color="auto"/>
        <w:left w:val="none" w:sz="0" w:space="0" w:color="auto"/>
        <w:bottom w:val="none" w:sz="0" w:space="0" w:color="auto"/>
        <w:right w:val="none" w:sz="0" w:space="0" w:color="auto"/>
      </w:divBdr>
    </w:div>
    <w:div w:id="1665359788">
      <w:bodyDiv w:val="1"/>
      <w:marLeft w:val="0"/>
      <w:marRight w:val="0"/>
      <w:marTop w:val="0"/>
      <w:marBottom w:val="0"/>
      <w:divBdr>
        <w:top w:val="none" w:sz="0" w:space="0" w:color="auto"/>
        <w:left w:val="none" w:sz="0" w:space="0" w:color="auto"/>
        <w:bottom w:val="none" w:sz="0" w:space="0" w:color="auto"/>
        <w:right w:val="none" w:sz="0" w:space="0" w:color="auto"/>
      </w:divBdr>
    </w:div>
    <w:div w:id="1770657077">
      <w:bodyDiv w:val="1"/>
      <w:marLeft w:val="0"/>
      <w:marRight w:val="0"/>
      <w:marTop w:val="0"/>
      <w:marBottom w:val="0"/>
      <w:divBdr>
        <w:top w:val="none" w:sz="0" w:space="0" w:color="auto"/>
        <w:left w:val="none" w:sz="0" w:space="0" w:color="auto"/>
        <w:bottom w:val="none" w:sz="0" w:space="0" w:color="auto"/>
        <w:right w:val="none" w:sz="0" w:space="0" w:color="auto"/>
      </w:divBdr>
    </w:div>
    <w:div w:id="195790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D56267112CDC4FB0D8582F58FF7CE1" ma:contentTypeVersion="15" ma:contentTypeDescription="Create a new document." ma:contentTypeScope="" ma:versionID="f94d12dcad3854eb22abdf20dcc8580a">
  <xsd:schema xmlns:xsd="http://www.w3.org/2001/XMLSchema" xmlns:xs="http://www.w3.org/2001/XMLSchema" xmlns:p="http://schemas.microsoft.com/office/2006/metadata/properties" xmlns:ns2="c69012fe-9a92-4954-b0a7-853fae50b610" xmlns:ns3="a991264a-cd92-493e-8f32-b2890e390722" targetNamespace="http://schemas.microsoft.com/office/2006/metadata/properties" ma:root="true" ma:fieldsID="d35f0a9e787f4f6dea3268110f07c61b" ns2:_="" ns3:_="">
    <xsd:import namespace="c69012fe-9a92-4954-b0a7-853fae50b610"/>
    <xsd:import namespace="a991264a-cd92-493e-8f32-b2890e3907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012fe-9a92-4954-b0a7-853fae50b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9dd5136-d8d3-43bd-8536-49417bb068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91264a-cd92-493e-8f32-b2890e3907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62d6b8-114e-468a-aa26-e736c33b1f80}" ma:internalName="TaxCatchAll" ma:showField="CatchAllData" ma:web="a991264a-cd92-493e-8f32-b2890e39072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9012fe-9a92-4954-b0a7-853fae50b610">
      <Terms xmlns="http://schemas.microsoft.com/office/infopath/2007/PartnerControls"/>
    </lcf76f155ced4ddcb4097134ff3c332f>
    <TaxCatchAll xmlns="a991264a-cd92-493e-8f32-b2890e39072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E5D02-A64A-4E93-938B-97251AB97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9012fe-9a92-4954-b0a7-853fae50b610"/>
    <ds:schemaRef ds:uri="a991264a-cd92-493e-8f32-b2890e390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43AB2-22D9-42F2-9DFC-08445147FB14}">
  <ds:schemaRefs>
    <ds:schemaRef ds:uri="http://schemas.microsoft.com/sharepoint/v3/contenttype/forms"/>
  </ds:schemaRefs>
</ds:datastoreItem>
</file>

<file path=customXml/itemProps3.xml><?xml version="1.0" encoding="utf-8"?>
<ds:datastoreItem xmlns:ds="http://schemas.openxmlformats.org/officeDocument/2006/customXml" ds:itemID="{0D486EFD-65BC-4DE6-A820-132570A6F814}">
  <ds:schemaRefs>
    <ds:schemaRef ds:uri="http://purl.org/dc/elements/1.1/"/>
    <ds:schemaRef ds:uri="http://schemas.microsoft.com/office/infopath/2007/PartnerControls"/>
    <ds:schemaRef ds:uri="http://www.w3.org/XML/1998/namespace"/>
    <ds:schemaRef ds:uri="http://purl.org/dc/terms/"/>
    <ds:schemaRef ds:uri="c69012fe-9a92-4954-b0a7-853fae50b610"/>
    <ds:schemaRef ds:uri="http://schemas.microsoft.com/office/2006/metadata/properties"/>
    <ds:schemaRef ds:uri="a991264a-cd92-493e-8f32-b2890e390722"/>
    <ds:schemaRef ds:uri="http://purl.org/dc/dcmitype/"/>
    <ds:schemaRef ds:uri="http://schemas.microsoft.com/office/2006/documentManagement/types"/>
    <ds:schemaRef ds:uri="http://schemas.openxmlformats.org/package/2006/metadata/core-properties"/>
  </ds:schemaRefs>
</ds:datastoreItem>
</file>

<file path=customXml/itemProps4.xml><?xml version="1.0" encoding="utf-8"?>
<ds:datastoreItem xmlns:ds="http://schemas.openxmlformats.org/officeDocument/2006/customXml" ds:itemID="{0A9C8040-AEBC-41D8-A94A-ECB21A26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Monteiro, Gwen</dc:creator>
  <cp:keywords/>
  <dc:description/>
  <cp:lastModifiedBy>Courtney, Alicia</cp:lastModifiedBy>
  <cp:revision>7</cp:revision>
  <cp:lastPrinted>2024-03-14T05:17:00Z</cp:lastPrinted>
  <dcterms:created xsi:type="dcterms:W3CDTF">2025-03-26T07:52:00Z</dcterms:created>
  <dcterms:modified xsi:type="dcterms:W3CDTF">2025-03-26T08:12:00Z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6cf7cf-4bad-475a-a557-f71d08d59046_Enabled">
    <vt:lpwstr>true</vt:lpwstr>
  </property>
  <property fmtid="{D5CDD505-2E9C-101B-9397-08002B2CF9AE}" pid="3" name="MSIP_Label_116cf7cf-4bad-475a-a557-f71d08d59046_SetDate">
    <vt:lpwstr>2023-09-22T04:59:41Z</vt:lpwstr>
  </property>
  <property fmtid="{D5CDD505-2E9C-101B-9397-08002B2CF9AE}" pid="4" name="MSIP_Label_116cf7cf-4bad-475a-a557-f71d08d59046_Method">
    <vt:lpwstr>Standard</vt:lpwstr>
  </property>
  <property fmtid="{D5CDD505-2E9C-101B-9397-08002B2CF9AE}" pid="5" name="MSIP_Label_116cf7cf-4bad-475a-a557-f71d08d59046_Name">
    <vt:lpwstr>OFFICIAL [ Office ]</vt:lpwstr>
  </property>
  <property fmtid="{D5CDD505-2E9C-101B-9397-08002B2CF9AE}" pid="6" name="MSIP_Label_116cf7cf-4bad-475a-a557-f71d08d59046_SiteId">
    <vt:lpwstr>d48144b5-571f-4b68-9721-e41bc0071e17</vt:lpwstr>
  </property>
  <property fmtid="{D5CDD505-2E9C-101B-9397-08002B2CF9AE}" pid="7" name="MSIP_Label_116cf7cf-4bad-475a-a557-f71d08d59046_ActionId">
    <vt:lpwstr>5ff54825-c302-4ef8-abce-08e0e4c14617</vt:lpwstr>
  </property>
  <property fmtid="{D5CDD505-2E9C-101B-9397-08002B2CF9AE}" pid="8" name="MSIP_Label_116cf7cf-4bad-475a-a557-f71d08d59046_ContentBits">
    <vt:lpwstr>0</vt:lpwstr>
  </property>
  <property fmtid="{D5CDD505-2E9C-101B-9397-08002B2CF9AE}" pid="9" name="_AdHocReviewCycleID">
    <vt:i4>367442089</vt:i4>
  </property>
  <property fmtid="{D5CDD505-2E9C-101B-9397-08002B2CF9AE}" pid="10" name="_NewReviewCycle">
    <vt:lpwstr/>
  </property>
  <property fmtid="{D5CDD505-2E9C-101B-9397-08002B2CF9AE}" pid="11" name="_EmailSubject">
    <vt:lpwstr>JDF Template - Response from People and Payroll Services [SR-0011424]</vt:lpwstr>
  </property>
  <property fmtid="{D5CDD505-2E9C-101B-9397-08002B2CF9AE}" pid="12" name="_AuthorEmail">
    <vt:lpwstr>Gavin.Seredynski@dpc.wa.gov.au</vt:lpwstr>
  </property>
  <property fmtid="{D5CDD505-2E9C-101B-9397-08002B2CF9AE}" pid="13" name="_AuthorEmailDisplayName">
    <vt:lpwstr>Seredynski, Gavin</vt:lpwstr>
  </property>
  <property fmtid="{D5CDD505-2E9C-101B-9397-08002B2CF9AE}" pid="14" name="_PreviousAdHocReviewCycleID">
    <vt:i4>2016571752</vt:i4>
  </property>
  <property fmtid="{D5CDD505-2E9C-101B-9397-08002B2CF9AE}" pid="15" name="ContentTypeId">
    <vt:lpwstr>0x01010070D56267112CDC4FB0D8582F58FF7CE1</vt:lpwstr>
  </property>
  <property fmtid="{D5CDD505-2E9C-101B-9397-08002B2CF9AE}" pid="16" name="_ReviewingToolsShownOnce">
    <vt:lpwstr/>
  </property>
</Properties>
</file>