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7AEF372F" w:rsidR="004A4EC3" w:rsidRPr="00C14680" w:rsidRDefault="00CB1ECC"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Policy Officer</w:t>
      </w:r>
      <w:r w:rsidR="004A4EC3" w:rsidRPr="00C14680">
        <w:rPr>
          <w:rFonts w:eastAsiaTheme="majorEastAsia" w:cs="Times New Roman (Headings CS)"/>
          <w:b/>
          <w:color w:val="CC5733"/>
          <w:sz w:val="30"/>
          <w:szCs w:val="30"/>
        </w:rPr>
        <w:t xml:space="preserve">, Level </w:t>
      </w:r>
      <w:r>
        <w:rPr>
          <w:rFonts w:eastAsiaTheme="majorEastAsia" w:cs="Times New Roman (Headings CS)"/>
          <w:b/>
          <w:color w:val="CC5733"/>
          <w:sz w:val="30"/>
          <w:szCs w:val="30"/>
        </w:rPr>
        <w:t xml:space="preserve">5 </w:t>
      </w:r>
      <w:r>
        <w:rPr>
          <w:rFonts w:eastAsiaTheme="majorEastAsia" w:cs="Times New Roman (Headings CS)"/>
          <w:b/>
          <w:color w:val="CC5733"/>
          <w:sz w:val="30"/>
          <w:szCs w:val="30"/>
        </w:rPr>
        <w:br/>
      </w:r>
      <w:r w:rsidR="004A4EC3" w:rsidRPr="00C14680">
        <w:rPr>
          <w:rFonts w:eastAsiaTheme="majorEastAsia" w:cs="Times New Roman (Headings CS)"/>
          <w:b/>
          <w:color w:val="CC5733"/>
          <w:sz w:val="30"/>
          <w:szCs w:val="30"/>
        </w:rPr>
        <w:t>(</w:t>
      </w:r>
      <w:r>
        <w:rPr>
          <w:rFonts w:eastAsiaTheme="majorEastAsia" w:cs="Times New Roman (Headings CS)"/>
          <w:b/>
          <w:color w:val="CC5733"/>
          <w:sz w:val="30"/>
          <w:szCs w:val="30"/>
        </w:rPr>
        <w:t>DPC23003</w:t>
      </w:r>
      <w:r w:rsidR="004A4EC3" w:rsidRPr="00C14680">
        <w:rPr>
          <w:rFonts w:eastAsiaTheme="majorEastAsia" w:cs="Times New Roman (Headings CS)"/>
          <w:b/>
          <w:color w:val="CC5733"/>
          <w:sz w:val="30"/>
          <w:szCs w:val="30"/>
        </w:rPr>
        <w:t>)</w:t>
      </w:r>
    </w:p>
    <w:tbl>
      <w:tblPr>
        <w:tblStyle w:val="TableGrid"/>
        <w:tblpPr w:leftFromText="180" w:rightFromText="180"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2"/>
        <w:gridCol w:w="2747"/>
        <w:gridCol w:w="1647"/>
        <w:gridCol w:w="2410"/>
      </w:tblGrid>
      <w:tr w:rsidR="004A4EC3" w:rsidRPr="00515264" w14:paraId="361BAA74" w14:textId="77777777" w:rsidTr="009514B1">
        <w:trPr>
          <w:trHeight w:val="465"/>
        </w:trPr>
        <w:tc>
          <w:tcPr>
            <w:tcW w:w="2552" w:type="dxa"/>
          </w:tcPr>
          <w:p w14:paraId="77A0CA35" w14:textId="35EFD895" w:rsidR="004A4EC3" w:rsidRPr="00515264" w:rsidRDefault="009514B1" w:rsidP="004A4EC3">
            <w:pPr>
              <w:pStyle w:val="Formfields"/>
              <w:framePr w:hSpace="0" w:wrap="auto" w:vAnchor="margin" w:yAlign="inline"/>
              <w:suppressOverlap w:val="0"/>
              <w:rPr>
                <w:color w:val="000000" w:themeColor="text1"/>
                <w:sz w:val="23"/>
                <w:szCs w:val="23"/>
              </w:rPr>
            </w:pPr>
            <w:r w:rsidRPr="00515264">
              <w:rPr>
                <w:sz w:val="23"/>
                <w:szCs w:val="23"/>
              </w:rPr>
              <w:t>Division/</w:t>
            </w:r>
            <w:r w:rsidR="004A4EC3" w:rsidRPr="00515264">
              <w:rPr>
                <w:sz w:val="23"/>
                <w:szCs w:val="23"/>
              </w:rPr>
              <w:t xml:space="preserve">Directorate: </w:t>
            </w:r>
          </w:p>
        </w:tc>
        <w:tc>
          <w:tcPr>
            <w:tcW w:w="2747" w:type="dxa"/>
          </w:tcPr>
          <w:p w14:paraId="6E7A5B79" w14:textId="2296C794" w:rsidR="004A4EC3" w:rsidRPr="00515264" w:rsidRDefault="00CB1ECC" w:rsidP="004A4EC3">
            <w:pPr>
              <w:rPr>
                <w:sz w:val="23"/>
                <w:szCs w:val="23"/>
              </w:rPr>
            </w:pPr>
            <w:r w:rsidRPr="00515264">
              <w:rPr>
                <w:color w:val="000000" w:themeColor="text1"/>
                <w:sz w:val="23"/>
                <w:szCs w:val="23"/>
              </w:rPr>
              <w:t>Aboriginal Engagement &amp; Community Policy</w:t>
            </w:r>
            <w:r w:rsidRPr="00515264">
              <w:rPr>
                <w:color w:val="FF0000"/>
                <w:sz w:val="23"/>
                <w:szCs w:val="23"/>
              </w:rPr>
              <w:t xml:space="preserve">   </w:t>
            </w:r>
          </w:p>
        </w:tc>
        <w:tc>
          <w:tcPr>
            <w:tcW w:w="1647" w:type="dxa"/>
          </w:tcPr>
          <w:p w14:paraId="67141356" w14:textId="77777777" w:rsidR="004A4EC3" w:rsidRPr="00515264" w:rsidRDefault="004A4EC3" w:rsidP="004A4EC3">
            <w:pPr>
              <w:pStyle w:val="Formfields"/>
              <w:framePr w:hSpace="0" w:wrap="auto" w:vAnchor="margin" w:yAlign="inline"/>
              <w:suppressOverlap w:val="0"/>
              <w:rPr>
                <w:sz w:val="23"/>
                <w:szCs w:val="23"/>
              </w:rPr>
            </w:pPr>
            <w:r w:rsidRPr="00515264">
              <w:rPr>
                <w:sz w:val="23"/>
                <w:szCs w:val="23"/>
              </w:rPr>
              <w:t xml:space="preserve">Reports to: </w:t>
            </w:r>
          </w:p>
        </w:tc>
        <w:tc>
          <w:tcPr>
            <w:tcW w:w="2410" w:type="dxa"/>
          </w:tcPr>
          <w:p w14:paraId="0836B71E" w14:textId="0756D166" w:rsidR="004A4EC3" w:rsidRPr="00515264" w:rsidRDefault="00CB1ECC" w:rsidP="004A4EC3">
            <w:pPr>
              <w:rPr>
                <w:sz w:val="23"/>
                <w:szCs w:val="23"/>
              </w:rPr>
            </w:pPr>
            <w:r w:rsidRPr="00515264">
              <w:rPr>
                <w:sz w:val="23"/>
                <w:szCs w:val="23"/>
              </w:rPr>
              <w:t>Assistant</w:t>
            </w:r>
            <w:r w:rsidR="00E45F64">
              <w:rPr>
                <w:sz w:val="23"/>
                <w:szCs w:val="23"/>
              </w:rPr>
              <w:t xml:space="preserve"> </w:t>
            </w:r>
            <w:r w:rsidRPr="00515264">
              <w:rPr>
                <w:sz w:val="23"/>
                <w:szCs w:val="23"/>
              </w:rPr>
              <w:t>Director</w:t>
            </w:r>
          </w:p>
        </w:tc>
      </w:tr>
      <w:tr w:rsidR="004A4EC3" w:rsidRPr="00515264" w14:paraId="77F9C586" w14:textId="77777777" w:rsidTr="009514B1">
        <w:trPr>
          <w:trHeight w:val="85"/>
        </w:trPr>
        <w:tc>
          <w:tcPr>
            <w:tcW w:w="2552" w:type="dxa"/>
          </w:tcPr>
          <w:p w14:paraId="5E66F297" w14:textId="1455B585" w:rsidR="004A4EC3" w:rsidRPr="00515264" w:rsidRDefault="004A4EC3" w:rsidP="004A4EC3">
            <w:pPr>
              <w:pStyle w:val="Default"/>
              <w:rPr>
                <w:color w:val="000000" w:themeColor="text1"/>
                <w:sz w:val="23"/>
                <w:szCs w:val="23"/>
              </w:rPr>
            </w:pPr>
            <w:r w:rsidRPr="00515264">
              <w:rPr>
                <w:color w:val="CC5733"/>
                <w:sz w:val="23"/>
                <w:szCs w:val="23"/>
              </w:rPr>
              <w:t xml:space="preserve">Branch/Section: </w:t>
            </w:r>
          </w:p>
        </w:tc>
        <w:tc>
          <w:tcPr>
            <w:tcW w:w="2747" w:type="dxa"/>
          </w:tcPr>
          <w:p w14:paraId="2E756B84" w14:textId="7D226D3A" w:rsidR="004A4EC3" w:rsidRPr="00515264" w:rsidRDefault="00CB1ECC" w:rsidP="004A4EC3">
            <w:pPr>
              <w:rPr>
                <w:sz w:val="23"/>
                <w:szCs w:val="23"/>
              </w:rPr>
            </w:pPr>
            <w:r w:rsidRPr="00515264">
              <w:rPr>
                <w:sz w:val="23"/>
                <w:szCs w:val="23"/>
              </w:rPr>
              <w:t>Aboriginal Engagement</w:t>
            </w:r>
          </w:p>
        </w:tc>
        <w:tc>
          <w:tcPr>
            <w:tcW w:w="1647" w:type="dxa"/>
          </w:tcPr>
          <w:p w14:paraId="69AA6691" w14:textId="77777777" w:rsidR="004A4EC3" w:rsidRPr="00515264" w:rsidRDefault="004A4EC3" w:rsidP="004A4EC3">
            <w:pPr>
              <w:pStyle w:val="Formfields"/>
              <w:framePr w:hSpace="0" w:wrap="auto" w:vAnchor="margin" w:yAlign="inline"/>
              <w:suppressOverlap w:val="0"/>
              <w:rPr>
                <w:sz w:val="23"/>
                <w:szCs w:val="23"/>
              </w:rPr>
            </w:pPr>
            <w:r w:rsidRPr="00515264">
              <w:rPr>
                <w:sz w:val="23"/>
                <w:szCs w:val="23"/>
              </w:rPr>
              <w:t xml:space="preserve">Supervises: </w:t>
            </w:r>
          </w:p>
        </w:tc>
        <w:tc>
          <w:tcPr>
            <w:tcW w:w="2410" w:type="dxa"/>
          </w:tcPr>
          <w:p w14:paraId="492DAAAF" w14:textId="0874E355" w:rsidR="004A4EC3" w:rsidRPr="00515264" w:rsidRDefault="0020694D" w:rsidP="004A4EC3">
            <w:pPr>
              <w:rPr>
                <w:sz w:val="23"/>
                <w:szCs w:val="23"/>
              </w:rPr>
            </w:pPr>
            <w:r w:rsidRPr="00515264">
              <w:rPr>
                <w:sz w:val="23"/>
                <w:szCs w:val="23"/>
              </w:rPr>
              <w:t>Nil</w:t>
            </w:r>
          </w:p>
        </w:tc>
      </w:tr>
      <w:tr w:rsidR="004A4EC3" w:rsidRPr="00515264" w14:paraId="6BBCF80B" w14:textId="77777777" w:rsidTr="00515264">
        <w:trPr>
          <w:trHeight w:val="245"/>
        </w:trPr>
        <w:tc>
          <w:tcPr>
            <w:tcW w:w="2552" w:type="dxa"/>
          </w:tcPr>
          <w:p w14:paraId="441BB099" w14:textId="16118058" w:rsidR="004A4EC3" w:rsidRPr="00515264" w:rsidRDefault="004A4EC3" w:rsidP="004A4EC3">
            <w:pPr>
              <w:pStyle w:val="Default"/>
              <w:rPr>
                <w:color w:val="000000" w:themeColor="text1"/>
                <w:sz w:val="23"/>
                <w:szCs w:val="23"/>
              </w:rPr>
            </w:pPr>
            <w:r w:rsidRPr="00515264">
              <w:rPr>
                <w:color w:val="CC5733"/>
                <w:sz w:val="23"/>
                <w:szCs w:val="23"/>
              </w:rPr>
              <w:t xml:space="preserve">Location: </w:t>
            </w:r>
          </w:p>
        </w:tc>
        <w:tc>
          <w:tcPr>
            <w:tcW w:w="2747" w:type="dxa"/>
          </w:tcPr>
          <w:p w14:paraId="7552AE47" w14:textId="775F0025" w:rsidR="004A4EC3" w:rsidRPr="00515264" w:rsidRDefault="004E2FC6" w:rsidP="004A4EC3">
            <w:pPr>
              <w:rPr>
                <w:sz w:val="23"/>
                <w:szCs w:val="23"/>
              </w:rPr>
            </w:pPr>
            <w:r w:rsidRPr="00515264">
              <w:rPr>
                <w:sz w:val="23"/>
                <w:szCs w:val="23"/>
              </w:rPr>
              <w:t xml:space="preserve">West Perth </w:t>
            </w:r>
          </w:p>
        </w:tc>
        <w:tc>
          <w:tcPr>
            <w:tcW w:w="1647" w:type="dxa"/>
          </w:tcPr>
          <w:p w14:paraId="7FF4CBAE" w14:textId="0CC22394" w:rsidR="004A4EC3" w:rsidRPr="00515264" w:rsidRDefault="004A4EC3" w:rsidP="004A4EC3">
            <w:pPr>
              <w:pStyle w:val="Default"/>
              <w:rPr>
                <w:color w:val="CC5733"/>
                <w:sz w:val="23"/>
                <w:szCs w:val="23"/>
              </w:rPr>
            </w:pPr>
          </w:p>
        </w:tc>
        <w:tc>
          <w:tcPr>
            <w:tcW w:w="2410" w:type="dxa"/>
          </w:tcPr>
          <w:p w14:paraId="6D36D602" w14:textId="0EDB96F9" w:rsidR="004A4EC3" w:rsidRPr="00515264" w:rsidRDefault="004A4EC3" w:rsidP="004A4EC3">
            <w:pPr>
              <w:rPr>
                <w:sz w:val="23"/>
                <w:szCs w:val="23"/>
              </w:rPr>
            </w:pPr>
          </w:p>
        </w:tc>
      </w:tr>
    </w:tbl>
    <w:p w14:paraId="014A645F" w14:textId="77777777" w:rsidR="009972B9" w:rsidRPr="008947AE" w:rsidRDefault="009972B9" w:rsidP="009972B9">
      <w:pPr>
        <w:pStyle w:val="Heading1"/>
        <w:spacing w:before="240"/>
        <w:rPr>
          <w:sz w:val="23"/>
          <w:szCs w:val="23"/>
        </w:rPr>
      </w:pPr>
      <w:r w:rsidRPr="008947AE">
        <w:rPr>
          <w:sz w:val="23"/>
          <w:szCs w:val="23"/>
        </w:rPr>
        <w:t xml:space="preserve">Our vision is to lead a connected government that delivers a brighter future for Western Australians. </w:t>
      </w:r>
    </w:p>
    <w:p w14:paraId="1DF9336E" w14:textId="77777777" w:rsidR="009972B9" w:rsidRPr="008947AE" w:rsidRDefault="009972B9" w:rsidP="009972B9">
      <w:pPr>
        <w:spacing w:line="240" w:lineRule="auto"/>
        <w:rPr>
          <w:sz w:val="23"/>
          <w:szCs w:val="23"/>
        </w:rPr>
      </w:pPr>
      <w:r w:rsidRPr="008947AE">
        <w:rPr>
          <w:sz w:val="23"/>
          <w:szCs w:val="23"/>
        </w:rPr>
        <w:t xml:space="preserve">The Department of the Premier and Cabinet (DPC) leads the public sector in providing whole-of-Government advice and support to the Premier and Cabinet in their service of the WA community. </w:t>
      </w:r>
    </w:p>
    <w:p w14:paraId="7C36CF29" w14:textId="77777777" w:rsidR="009972B9" w:rsidRPr="008947AE" w:rsidRDefault="009972B9" w:rsidP="009972B9">
      <w:pPr>
        <w:spacing w:line="240" w:lineRule="auto"/>
        <w:rPr>
          <w:sz w:val="23"/>
          <w:szCs w:val="23"/>
        </w:rPr>
      </w:pPr>
      <w:r w:rsidRPr="008947AE">
        <w:rPr>
          <w:sz w:val="23"/>
          <w:szCs w:val="23"/>
        </w:rPr>
        <w:t>Our areas of responsibility include Office of Digital Government, Intergovernmental Relations and Strategic Priorities, Aboriginal Engagement and Community Policy, Infrastructure, Economy and Environment and State Services.</w:t>
      </w:r>
    </w:p>
    <w:p w14:paraId="5DB6592F" w14:textId="77777777" w:rsidR="009972B9" w:rsidRPr="008947AE" w:rsidRDefault="009972B9" w:rsidP="009972B9">
      <w:pPr>
        <w:spacing w:line="240" w:lineRule="auto"/>
        <w:rPr>
          <w:rFonts w:ascii="Neue Haas Grotesk Text Pro" w:hAnsi="Neue Haas Grotesk Text Pro"/>
          <w:color w:val="000000" w:themeColor="text1"/>
          <w:sz w:val="23"/>
          <w:szCs w:val="23"/>
        </w:rPr>
      </w:pPr>
      <w:r w:rsidRPr="008947AE">
        <w:rPr>
          <w:sz w:val="23"/>
          <w:szCs w:val="23"/>
        </w:rPr>
        <w:t>Join us and work in a role where you can make a real difference to the lives of children, families, individuals and communities throughout Western Australia.</w:t>
      </w:r>
      <w:bookmarkStart w:id="0" w:name="_Hlk125896025"/>
    </w:p>
    <w:p w14:paraId="378836EB" w14:textId="77777777" w:rsidR="009972B9" w:rsidRPr="008947AE" w:rsidRDefault="009972B9" w:rsidP="001566A9">
      <w:pPr>
        <w:pStyle w:val="Heading1"/>
        <w:spacing w:before="240"/>
        <w:rPr>
          <w:sz w:val="23"/>
          <w:szCs w:val="23"/>
        </w:rPr>
      </w:pPr>
      <w:r w:rsidRPr="008947AE">
        <w:rPr>
          <w:sz w:val="23"/>
          <w:szCs w:val="23"/>
        </w:rPr>
        <w:t xml:space="preserve">Our values, </w:t>
      </w:r>
      <w:r w:rsidRPr="008947AE">
        <w:rPr>
          <w:i/>
          <w:iCs/>
          <w:sz w:val="23"/>
          <w:szCs w:val="23"/>
        </w:rPr>
        <w:t>Leadership, Connection and Impact</w:t>
      </w:r>
      <w:r w:rsidRPr="008947AE">
        <w:rPr>
          <w:sz w:val="23"/>
          <w:szCs w:val="23"/>
        </w:rPr>
        <w:t xml:space="preserve">, underpin the way we work. </w:t>
      </w:r>
    </w:p>
    <w:p w14:paraId="7FAF9CD9" w14:textId="77777777" w:rsidR="009972B9" w:rsidRPr="008947AE" w:rsidRDefault="009972B9" w:rsidP="001566A9">
      <w:pPr>
        <w:spacing w:after="120" w:line="240" w:lineRule="auto"/>
        <w:rPr>
          <w:color w:val="FF0000"/>
          <w:sz w:val="23"/>
          <w:szCs w:val="23"/>
          <w:highlight w:val="yellow"/>
        </w:rPr>
      </w:pPr>
      <w:r w:rsidRPr="008947AE">
        <w:rPr>
          <w:rFonts w:eastAsia="Times New Roman"/>
          <w:sz w:val="23"/>
          <w:szCs w:val="23"/>
        </w:rPr>
        <w:t xml:space="preserve">The Community Policy Unit (CPU) is part of the Aboriginal Engagement and Community Policy division. We support the Premier and Cabinet to achieve their economic, social and wellbeing objectives by leading and coordinating cross government policy development and implementation advice on social policy matters. </w:t>
      </w:r>
    </w:p>
    <w:bookmarkEnd w:id="0"/>
    <w:p w14:paraId="0F213BFA" w14:textId="77777777" w:rsidR="009972B9" w:rsidRPr="008947AE" w:rsidRDefault="009972B9" w:rsidP="001566A9">
      <w:pPr>
        <w:pStyle w:val="Heading1"/>
        <w:spacing w:before="240"/>
        <w:rPr>
          <w:b w:val="0"/>
          <w:sz w:val="23"/>
          <w:szCs w:val="23"/>
        </w:rPr>
      </w:pPr>
      <w:r w:rsidRPr="008947AE">
        <w:rPr>
          <w:sz w:val="23"/>
          <w:szCs w:val="23"/>
        </w:rPr>
        <w:t>About the Role and Responsibilities</w:t>
      </w:r>
    </w:p>
    <w:p w14:paraId="0906A523" w14:textId="77777777" w:rsidR="009972B9" w:rsidRPr="008947AE" w:rsidRDefault="009972B9" w:rsidP="009972B9">
      <w:pPr>
        <w:spacing w:after="0" w:line="240" w:lineRule="auto"/>
        <w:jc w:val="both"/>
        <w:rPr>
          <w:rFonts w:eastAsia="Times New Roman"/>
          <w:sz w:val="23"/>
          <w:szCs w:val="23"/>
        </w:rPr>
      </w:pPr>
      <w:r w:rsidRPr="008947AE">
        <w:rPr>
          <w:rFonts w:eastAsia="Times New Roman"/>
          <w:sz w:val="23"/>
          <w:szCs w:val="23"/>
        </w:rPr>
        <w:t>The Policy Officer undertakes quality research and analysis to support the development, coordination, implementation and review of Government policies and initiatives from a whole-of-government perspective. Furthermore, the position contributes to policy and governance reporting, support, and advice, and contributes to projects to deliver outcomes within agreed timeframes and outcomes.</w:t>
      </w:r>
    </w:p>
    <w:p w14:paraId="5EF9F5D9" w14:textId="77777777" w:rsidR="009972B9" w:rsidRPr="008947AE" w:rsidRDefault="009972B9" w:rsidP="009972B9">
      <w:pPr>
        <w:spacing w:after="0" w:line="240" w:lineRule="auto"/>
        <w:jc w:val="both"/>
        <w:rPr>
          <w:rFonts w:eastAsia="Times New Roman"/>
          <w:sz w:val="23"/>
          <w:szCs w:val="23"/>
        </w:rPr>
      </w:pPr>
    </w:p>
    <w:p w14:paraId="36596045" w14:textId="77777777" w:rsidR="009972B9" w:rsidRPr="008947AE" w:rsidRDefault="009972B9" w:rsidP="009972B9">
      <w:pPr>
        <w:spacing w:after="0" w:line="240" w:lineRule="auto"/>
        <w:rPr>
          <w:b/>
          <w:sz w:val="23"/>
          <w:szCs w:val="23"/>
        </w:rPr>
      </w:pPr>
      <w:r w:rsidRPr="008947AE">
        <w:rPr>
          <w:b/>
          <w:sz w:val="23"/>
          <w:szCs w:val="23"/>
        </w:rPr>
        <w:t>Strategic Alignment</w:t>
      </w:r>
    </w:p>
    <w:p w14:paraId="1DCF1A20" w14:textId="77777777" w:rsidR="009972B9" w:rsidRPr="008947AE" w:rsidRDefault="009972B9" w:rsidP="009972B9">
      <w:pPr>
        <w:pStyle w:val="ListParagraph"/>
        <w:numPr>
          <w:ilvl w:val="0"/>
          <w:numId w:val="19"/>
        </w:numPr>
        <w:spacing w:after="0"/>
        <w:contextualSpacing/>
        <w:rPr>
          <w:rFonts w:cs="Arial"/>
          <w:sz w:val="23"/>
          <w:szCs w:val="23"/>
        </w:rPr>
      </w:pPr>
      <w:r w:rsidRPr="008947AE">
        <w:rPr>
          <w:rFonts w:cs="Arial"/>
          <w:sz w:val="23"/>
          <w:szCs w:val="23"/>
        </w:rPr>
        <w:t xml:space="preserve">Understand and can apply knowledge of government and its components. Contributes to policy development. </w:t>
      </w:r>
    </w:p>
    <w:p w14:paraId="2D29F60C" w14:textId="77777777" w:rsidR="009972B9" w:rsidRPr="008947AE" w:rsidRDefault="009972B9" w:rsidP="009972B9">
      <w:pPr>
        <w:pStyle w:val="ListParagraph"/>
        <w:numPr>
          <w:ilvl w:val="0"/>
          <w:numId w:val="19"/>
        </w:numPr>
        <w:spacing w:after="0"/>
        <w:contextualSpacing/>
        <w:rPr>
          <w:rFonts w:cs="Arial"/>
          <w:sz w:val="23"/>
          <w:szCs w:val="23"/>
        </w:rPr>
      </w:pPr>
      <w:r w:rsidRPr="008947AE">
        <w:rPr>
          <w:rFonts w:cs="Arial"/>
          <w:sz w:val="23"/>
          <w:szCs w:val="23"/>
        </w:rPr>
        <w:t xml:space="preserve">Understand the role, accountabilities, and obligations of public sector employees. </w:t>
      </w:r>
    </w:p>
    <w:p w14:paraId="3DD0FB95" w14:textId="77777777" w:rsidR="009972B9" w:rsidRPr="008947AE" w:rsidRDefault="009972B9" w:rsidP="009972B9">
      <w:pPr>
        <w:pStyle w:val="ListParagraph"/>
        <w:numPr>
          <w:ilvl w:val="0"/>
          <w:numId w:val="19"/>
        </w:numPr>
        <w:spacing w:after="0"/>
        <w:contextualSpacing/>
        <w:rPr>
          <w:rFonts w:cs="Arial"/>
          <w:sz w:val="23"/>
          <w:szCs w:val="23"/>
        </w:rPr>
      </w:pPr>
      <w:r w:rsidRPr="008947AE">
        <w:rPr>
          <w:rFonts w:cs="Arial"/>
          <w:sz w:val="23"/>
          <w:szCs w:val="23"/>
        </w:rPr>
        <w:t xml:space="preserve">Understand the political framework and interpret existing legislation and policy. </w:t>
      </w:r>
    </w:p>
    <w:p w14:paraId="15505913" w14:textId="77777777" w:rsidR="009972B9" w:rsidRPr="008947AE" w:rsidRDefault="009972B9" w:rsidP="009972B9">
      <w:pPr>
        <w:pStyle w:val="ListParagraph"/>
        <w:numPr>
          <w:ilvl w:val="0"/>
          <w:numId w:val="19"/>
        </w:numPr>
        <w:spacing w:after="0"/>
        <w:contextualSpacing/>
        <w:rPr>
          <w:rFonts w:cs="Arial"/>
          <w:sz w:val="23"/>
          <w:szCs w:val="23"/>
        </w:rPr>
      </w:pPr>
      <w:r w:rsidRPr="008947AE">
        <w:rPr>
          <w:rFonts w:cs="Arial"/>
          <w:sz w:val="23"/>
          <w:szCs w:val="23"/>
        </w:rPr>
        <w:t xml:space="preserve">Know the relevant subject matter and have an awareness of issues for relevant stakeholders. </w:t>
      </w:r>
    </w:p>
    <w:p w14:paraId="4675EE7E" w14:textId="77777777" w:rsidR="009972B9" w:rsidRPr="008947AE" w:rsidRDefault="009972B9" w:rsidP="009972B9">
      <w:pPr>
        <w:pStyle w:val="ListParagraph"/>
        <w:numPr>
          <w:ilvl w:val="0"/>
          <w:numId w:val="19"/>
        </w:numPr>
        <w:spacing w:after="0"/>
        <w:contextualSpacing/>
        <w:rPr>
          <w:rFonts w:cs="Arial"/>
          <w:sz w:val="23"/>
          <w:szCs w:val="23"/>
        </w:rPr>
      </w:pPr>
      <w:r w:rsidRPr="008947AE">
        <w:rPr>
          <w:rFonts w:cs="Arial"/>
          <w:sz w:val="23"/>
          <w:szCs w:val="23"/>
        </w:rPr>
        <w:t xml:space="preserve">Research and interpret the public interest parameters in the development of public policy. </w:t>
      </w:r>
    </w:p>
    <w:p w14:paraId="354B2147" w14:textId="77777777" w:rsidR="009972B9" w:rsidRPr="008947AE" w:rsidRDefault="009972B9" w:rsidP="009972B9">
      <w:pPr>
        <w:pStyle w:val="ListParagraph"/>
        <w:spacing w:after="0"/>
        <w:ind w:left="360"/>
        <w:rPr>
          <w:rFonts w:cs="Arial"/>
          <w:sz w:val="23"/>
          <w:szCs w:val="23"/>
        </w:rPr>
      </w:pPr>
    </w:p>
    <w:p w14:paraId="1E4881E7" w14:textId="77777777" w:rsidR="009972B9" w:rsidRPr="008947AE" w:rsidRDefault="009972B9" w:rsidP="009972B9">
      <w:pPr>
        <w:spacing w:after="0" w:line="240" w:lineRule="auto"/>
        <w:rPr>
          <w:b/>
          <w:sz w:val="23"/>
          <w:szCs w:val="23"/>
        </w:rPr>
      </w:pPr>
      <w:r w:rsidRPr="008947AE">
        <w:rPr>
          <w:b/>
          <w:sz w:val="23"/>
          <w:szCs w:val="23"/>
        </w:rPr>
        <w:lastRenderedPageBreak/>
        <w:t>Critical Thinking</w:t>
      </w:r>
    </w:p>
    <w:p w14:paraId="5EAC3DFA" w14:textId="77777777" w:rsidR="009972B9" w:rsidRPr="008947AE" w:rsidRDefault="009972B9" w:rsidP="009972B9">
      <w:pPr>
        <w:pStyle w:val="ListParagraph"/>
        <w:numPr>
          <w:ilvl w:val="0"/>
          <w:numId w:val="20"/>
        </w:numPr>
        <w:spacing w:after="0"/>
        <w:contextualSpacing/>
        <w:rPr>
          <w:rFonts w:cs="Arial"/>
          <w:sz w:val="23"/>
          <w:szCs w:val="23"/>
        </w:rPr>
      </w:pPr>
      <w:r w:rsidRPr="008947AE">
        <w:rPr>
          <w:rFonts w:cs="Arial"/>
          <w:sz w:val="23"/>
          <w:szCs w:val="23"/>
        </w:rPr>
        <w:t>Understand and apply different research methodologies and data sets (available and required) in developing policy options.  Define the scope of the problem and identify whether the policy approach will achieve the required outcomes.</w:t>
      </w:r>
    </w:p>
    <w:p w14:paraId="10D28F77" w14:textId="77777777" w:rsidR="009972B9" w:rsidRPr="008947AE" w:rsidRDefault="009972B9" w:rsidP="009972B9">
      <w:pPr>
        <w:pStyle w:val="ListParagraph"/>
        <w:numPr>
          <w:ilvl w:val="0"/>
          <w:numId w:val="20"/>
        </w:numPr>
        <w:spacing w:after="0"/>
        <w:contextualSpacing/>
        <w:rPr>
          <w:rFonts w:cs="Arial"/>
          <w:sz w:val="23"/>
          <w:szCs w:val="23"/>
        </w:rPr>
      </w:pPr>
      <w:r w:rsidRPr="008947AE">
        <w:rPr>
          <w:rFonts w:cs="Arial"/>
          <w:sz w:val="23"/>
          <w:szCs w:val="23"/>
        </w:rPr>
        <w:t>Interpret information gathered from a variety of sources for the current policy agenda. Evaluate the integrity and comparability of data sources. Identify gaps in data sources.</w:t>
      </w:r>
    </w:p>
    <w:p w14:paraId="5B0935BF" w14:textId="289A87E6" w:rsidR="009972B9" w:rsidRPr="001566A9" w:rsidRDefault="009972B9" w:rsidP="001566A9">
      <w:pPr>
        <w:pStyle w:val="ListParagraph"/>
        <w:numPr>
          <w:ilvl w:val="0"/>
          <w:numId w:val="20"/>
        </w:numPr>
        <w:ind w:left="357" w:hanging="357"/>
        <w:contextualSpacing/>
        <w:rPr>
          <w:rFonts w:cs="Arial"/>
          <w:sz w:val="23"/>
          <w:szCs w:val="23"/>
        </w:rPr>
      </w:pPr>
      <w:r w:rsidRPr="008947AE">
        <w:rPr>
          <w:rFonts w:cs="Arial"/>
          <w:sz w:val="23"/>
          <w:szCs w:val="23"/>
        </w:rPr>
        <w:t>Investigate the practical implications of policy options and identify delivery partners. Understand each of the roles in the delivery system and the impacts of options for stakeholders.</w:t>
      </w:r>
    </w:p>
    <w:p w14:paraId="0B5FCEE9" w14:textId="77777777" w:rsidR="009972B9" w:rsidRPr="008947AE" w:rsidRDefault="009972B9" w:rsidP="009972B9">
      <w:pPr>
        <w:spacing w:after="0" w:line="240" w:lineRule="auto"/>
        <w:rPr>
          <w:b/>
          <w:sz w:val="23"/>
          <w:szCs w:val="23"/>
        </w:rPr>
      </w:pPr>
      <w:r w:rsidRPr="008947AE">
        <w:rPr>
          <w:b/>
          <w:sz w:val="23"/>
          <w:szCs w:val="23"/>
        </w:rPr>
        <w:t>Communication and Engagement</w:t>
      </w:r>
    </w:p>
    <w:p w14:paraId="7591710C" w14:textId="77777777" w:rsidR="009972B9" w:rsidRPr="008947AE" w:rsidRDefault="009972B9" w:rsidP="009972B9">
      <w:pPr>
        <w:pStyle w:val="ListParagraph"/>
        <w:numPr>
          <w:ilvl w:val="0"/>
          <w:numId w:val="21"/>
        </w:numPr>
        <w:spacing w:after="0"/>
        <w:contextualSpacing/>
        <w:rPr>
          <w:rFonts w:cs="Arial"/>
          <w:sz w:val="23"/>
          <w:szCs w:val="23"/>
        </w:rPr>
      </w:pPr>
      <w:r w:rsidRPr="008947AE">
        <w:rPr>
          <w:rFonts w:cs="Arial"/>
          <w:sz w:val="23"/>
          <w:szCs w:val="23"/>
        </w:rPr>
        <w:t xml:space="preserve">Engage with staff and stakeholders involved in program delivery to identify issues and possible options. </w:t>
      </w:r>
    </w:p>
    <w:p w14:paraId="67AAC03C" w14:textId="77777777" w:rsidR="009972B9" w:rsidRPr="008947AE" w:rsidRDefault="009972B9" w:rsidP="009972B9">
      <w:pPr>
        <w:pStyle w:val="ListParagraph"/>
        <w:numPr>
          <w:ilvl w:val="0"/>
          <w:numId w:val="21"/>
        </w:numPr>
        <w:spacing w:after="0"/>
        <w:contextualSpacing/>
        <w:rPr>
          <w:rFonts w:cs="Arial"/>
          <w:sz w:val="23"/>
          <w:szCs w:val="23"/>
        </w:rPr>
      </w:pPr>
      <w:r w:rsidRPr="008947AE">
        <w:rPr>
          <w:rFonts w:cs="Arial"/>
          <w:sz w:val="23"/>
          <w:szCs w:val="23"/>
        </w:rPr>
        <w:t>Develop and communicate key arguments clearly (verbal and written).</w:t>
      </w:r>
    </w:p>
    <w:p w14:paraId="1C9DA6C6" w14:textId="77777777" w:rsidR="009972B9" w:rsidRPr="008947AE" w:rsidRDefault="009972B9" w:rsidP="009972B9">
      <w:pPr>
        <w:pStyle w:val="ListParagraph"/>
        <w:numPr>
          <w:ilvl w:val="0"/>
          <w:numId w:val="21"/>
        </w:numPr>
        <w:spacing w:after="0"/>
        <w:contextualSpacing/>
        <w:rPr>
          <w:rFonts w:cs="Arial"/>
          <w:sz w:val="23"/>
          <w:szCs w:val="23"/>
        </w:rPr>
      </w:pPr>
      <w:r w:rsidRPr="008947AE">
        <w:rPr>
          <w:rFonts w:cs="Arial"/>
          <w:sz w:val="23"/>
          <w:szCs w:val="23"/>
        </w:rPr>
        <w:t>Identify the preferred policy option based on reliable evidence to enable key people to make and defend decisions.</w:t>
      </w:r>
    </w:p>
    <w:p w14:paraId="7BB080C4" w14:textId="09EE4A30" w:rsidR="009972B9" w:rsidRPr="001566A9" w:rsidRDefault="009972B9" w:rsidP="001566A9">
      <w:pPr>
        <w:pStyle w:val="ListParagraph"/>
        <w:numPr>
          <w:ilvl w:val="0"/>
          <w:numId w:val="21"/>
        </w:numPr>
        <w:ind w:left="357" w:hanging="357"/>
        <w:contextualSpacing/>
        <w:rPr>
          <w:rFonts w:cs="Arial"/>
          <w:sz w:val="23"/>
          <w:szCs w:val="23"/>
        </w:rPr>
      </w:pPr>
      <w:r w:rsidRPr="008947AE">
        <w:rPr>
          <w:rFonts w:cs="Arial"/>
          <w:sz w:val="23"/>
          <w:szCs w:val="23"/>
        </w:rPr>
        <w:t xml:space="preserve">Understand the legal implications for policy delivery. Adapt proposals to ensure the selected option will work in practice based on stakeholder feedback and concerns. </w:t>
      </w:r>
    </w:p>
    <w:p w14:paraId="3D48D2BE" w14:textId="77777777" w:rsidR="009972B9" w:rsidRPr="008947AE" w:rsidRDefault="009972B9" w:rsidP="009972B9">
      <w:pPr>
        <w:spacing w:after="0" w:line="240" w:lineRule="auto"/>
        <w:rPr>
          <w:b/>
          <w:sz w:val="23"/>
          <w:szCs w:val="23"/>
        </w:rPr>
      </w:pPr>
      <w:r w:rsidRPr="008947AE">
        <w:rPr>
          <w:b/>
          <w:sz w:val="23"/>
          <w:szCs w:val="23"/>
        </w:rPr>
        <w:t>Policy Implementation and Evaluation</w:t>
      </w:r>
    </w:p>
    <w:p w14:paraId="2DC9A076" w14:textId="77777777" w:rsidR="009972B9" w:rsidRPr="008947AE" w:rsidRDefault="009972B9" w:rsidP="009972B9">
      <w:pPr>
        <w:pStyle w:val="ListParagraph"/>
        <w:numPr>
          <w:ilvl w:val="0"/>
          <w:numId w:val="22"/>
        </w:numPr>
        <w:spacing w:after="0"/>
        <w:contextualSpacing/>
        <w:rPr>
          <w:rFonts w:cs="Arial"/>
          <w:sz w:val="23"/>
          <w:szCs w:val="23"/>
        </w:rPr>
      </w:pPr>
      <w:r w:rsidRPr="008947AE">
        <w:rPr>
          <w:rFonts w:cs="Arial"/>
          <w:sz w:val="23"/>
          <w:szCs w:val="23"/>
        </w:rPr>
        <w:t xml:space="preserve">Coordinate and manage projects in terms of process, management, and delivery towards achieving policy outcomes. </w:t>
      </w:r>
    </w:p>
    <w:p w14:paraId="2B1D95C0" w14:textId="77777777" w:rsidR="009972B9" w:rsidRPr="008947AE" w:rsidRDefault="009972B9" w:rsidP="009972B9">
      <w:pPr>
        <w:pStyle w:val="ListParagraph"/>
        <w:numPr>
          <w:ilvl w:val="0"/>
          <w:numId w:val="22"/>
        </w:numPr>
        <w:spacing w:after="0"/>
        <w:contextualSpacing/>
        <w:rPr>
          <w:rFonts w:cs="Arial"/>
          <w:sz w:val="23"/>
          <w:szCs w:val="23"/>
        </w:rPr>
      </w:pPr>
      <w:r w:rsidRPr="008947AE">
        <w:rPr>
          <w:rFonts w:cs="Arial"/>
          <w:sz w:val="23"/>
          <w:szCs w:val="23"/>
        </w:rPr>
        <w:t xml:space="preserve">Monitor policy performance against agreed indicators. Share lessons learnt from policy evaluation. </w:t>
      </w:r>
    </w:p>
    <w:p w14:paraId="2906BA26" w14:textId="77777777" w:rsidR="009972B9" w:rsidRPr="008947AE" w:rsidRDefault="009972B9" w:rsidP="001566A9">
      <w:pPr>
        <w:pStyle w:val="Heading2"/>
        <w:spacing w:before="240"/>
        <w:rPr>
          <w:sz w:val="23"/>
          <w:szCs w:val="23"/>
        </w:rPr>
      </w:pPr>
      <w:r w:rsidRPr="008947AE">
        <w:rPr>
          <w:sz w:val="23"/>
          <w:szCs w:val="23"/>
        </w:rPr>
        <w:t>Corporate Responsibilities</w:t>
      </w:r>
    </w:p>
    <w:p w14:paraId="021FFDA7" w14:textId="77777777" w:rsidR="009972B9" w:rsidRPr="008947AE" w:rsidRDefault="009972B9" w:rsidP="009972B9">
      <w:pPr>
        <w:pStyle w:val="ListParagraph"/>
        <w:numPr>
          <w:ilvl w:val="0"/>
          <w:numId w:val="18"/>
        </w:numPr>
        <w:spacing w:after="0"/>
        <w:ind w:left="357" w:hanging="357"/>
        <w:rPr>
          <w:color w:val="auto"/>
          <w:sz w:val="23"/>
          <w:szCs w:val="23"/>
        </w:rPr>
      </w:pPr>
      <w:r w:rsidRPr="008947AE">
        <w:rPr>
          <w:color w:val="auto"/>
          <w:sz w:val="23"/>
          <w:szCs w:val="23"/>
        </w:rPr>
        <w:t>Exhibits accountability, professional integrity and respect consistent with DPC Values, the Code of Conduct, and the public sector Code of Ethics.</w:t>
      </w:r>
    </w:p>
    <w:p w14:paraId="2052ABD6" w14:textId="77777777" w:rsidR="009972B9" w:rsidRPr="008947AE" w:rsidRDefault="009972B9" w:rsidP="009972B9">
      <w:pPr>
        <w:pStyle w:val="ListParagraph"/>
        <w:numPr>
          <w:ilvl w:val="0"/>
          <w:numId w:val="18"/>
        </w:numPr>
        <w:spacing w:after="0"/>
        <w:ind w:left="357" w:hanging="357"/>
        <w:rPr>
          <w:color w:val="auto"/>
          <w:sz w:val="23"/>
          <w:szCs w:val="23"/>
        </w:rPr>
      </w:pPr>
      <w:r w:rsidRPr="008947AE">
        <w:rPr>
          <w:color w:val="auto"/>
          <w:sz w:val="23"/>
          <w:szCs w:val="23"/>
        </w:rPr>
        <w:t xml:space="preserve">Takes reasonable care to protect your own safety and health at work, and that of others by co-operating with the safety and health policies and procedures of the Department and complying with all provisions of the </w:t>
      </w:r>
      <w:r w:rsidRPr="008947AE">
        <w:rPr>
          <w:i/>
          <w:iCs/>
          <w:color w:val="auto"/>
          <w:sz w:val="23"/>
          <w:szCs w:val="23"/>
        </w:rPr>
        <w:t>Work Health and Safety Act 2020</w:t>
      </w:r>
    </w:p>
    <w:p w14:paraId="1E97051E" w14:textId="77777777" w:rsidR="009972B9" w:rsidRPr="008947AE" w:rsidRDefault="009972B9" w:rsidP="009972B9">
      <w:pPr>
        <w:pStyle w:val="ListParagraph"/>
        <w:numPr>
          <w:ilvl w:val="0"/>
          <w:numId w:val="18"/>
        </w:numPr>
        <w:spacing w:after="0"/>
        <w:ind w:left="357" w:hanging="357"/>
        <w:rPr>
          <w:color w:val="auto"/>
          <w:sz w:val="23"/>
          <w:szCs w:val="23"/>
        </w:rPr>
      </w:pPr>
      <w:r w:rsidRPr="008947AE">
        <w:rPr>
          <w:color w:val="auto"/>
          <w:sz w:val="23"/>
          <w:szCs w:val="23"/>
        </w:rPr>
        <w:t>Undertakes other duties as required.</w:t>
      </w:r>
    </w:p>
    <w:p w14:paraId="22AC083F" w14:textId="77777777" w:rsidR="009972B9" w:rsidRPr="008947AE" w:rsidRDefault="009972B9" w:rsidP="001566A9">
      <w:pPr>
        <w:pStyle w:val="Heading2"/>
        <w:spacing w:before="240"/>
        <w:rPr>
          <w:sz w:val="23"/>
          <w:szCs w:val="23"/>
        </w:rPr>
      </w:pPr>
      <w:r w:rsidRPr="008947AE">
        <w:rPr>
          <w:sz w:val="23"/>
          <w:szCs w:val="23"/>
        </w:rPr>
        <w:t>Work Related Capabilities (Selection Criteria)</w:t>
      </w:r>
    </w:p>
    <w:p w14:paraId="3CC52324" w14:textId="77777777" w:rsidR="009972B9" w:rsidRPr="008947AE" w:rsidRDefault="009972B9" w:rsidP="009972B9">
      <w:pPr>
        <w:spacing w:after="0" w:line="240" w:lineRule="auto"/>
        <w:jc w:val="both"/>
        <w:rPr>
          <w:b/>
          <w:sz w:val="23"/>
          <w:szCs w:val="23"/>
        </w:rPr>
      </w:pPr>
      <w:r w:rsidRPr="008947AE">
        <w:rPr>
          <w:b/>
          <w:sz w:val="23"/>
          <w:szCs w:val="23"/>
        </w:rPr>
        <w:t>Essential</w:t>
      </w:r>
    </w:p>
    <w:p w14:paraId="71E1F624" w14:textId="77777777" w:rsidR="009972B9" w:rsidRPr="008947AE" w:rsidRDefault="009972B9" w:rsidP="009972B9">
      <w:pPr>
        <w:pStyle w:val="ListParagraph"/>
        <w:numPr>
          <w:ilvl w:val="0"/>
          <w:numId w:val="23"/>
        </w:numPr>
        <w:spacing w:after="160" w:line="259" w:lineRule="auto"/>
        <w:contextualSpacing/>
        <w:rPr>
          <w:rFonts w:cs="Arial"/>
          <w:sz w:val="23"/>
          <w:szCs w:val="23"/>
        </w:rPr>
      </w:pPr>
      <w:r w:rsidRPr="008947AE">
        <w:rPr>
          <w:rFonts w:cs="Arial"/>
          <w:b/>
          <w:sz w:val="23"/>
          <w:szCs w:val="23"/>
        </w:rPr>
        <w:t>SHAPES AND MANAGES STRAGEGY.</w:t>
      </w:r>
      <w:r w:rsidRPr="008947AE">
        <w:rPr>
          <w:rFonts w:cs="Arial"/>
          <w:sz w:val="23"/>
          <w:szCs w:val="23"/>
        </w:rPr>
        <w:t xml:space="preserve"> </w:t>
      </w:r>
    </w:p>
    <w:p w14:paraId="04ACA9A9" w14:textId="77777777" w:rsidR="009972B9" w:rsidRPr="008947AE" w:rsidRDefault="009972B9" w:rsidP="009972B9">
      <w:pPr>
        <w:pStyle w:val="ListParagraph"/>
        <w:ind w:left="360"/>
        <w:rPr>
          <w:rFonts w:cs="Arial"/>
          <w:sz w:val="23"/>
          <w:szCs w:val="23"/>
        </w:rPr>
      </w:pPr>
      <w:r w:rsidRPr="008947AE">
        <w:rPr>
          <w:rFonts w:cs="Arial"/>
          <w:sz w:val="23"/>
          <w:szCs w:val="23"/>
        </w:rPr>
        <w:t>Thinks strategically by understanding strategic objectives that influence work goals. Supports a shared purpose and direction, understands, and communicates reasons for decision to others. Harnesses information and opportunities by drawing on information from a variety of sources, using own judgement to analyse the information. Shows judgement, intelligence, and common sense.</w:t>
      </w:r>
    </w:p>
    <w:p w14:paraId="6EF55F21" w14:textId="77777777" w:rsidR="009972B9" w:rsidRPr="008947AE" w:rsidRDefault="009972B9" w:rsidP="009972B9">
      <w:pPr>
        <w:pStyle w:val="ListParagraph"/>
        <w:numPr>
          <w:ilvl w:val="0"/>
          <w:numId w:val="23"/>
        </w:numPr>
        <w:spacing w:after="160" w:line="259" w:lineRule="auto"/>
        <w:contextualSpacing/>
        <w:rPr>
          <w:rFonts w:cs="Arial"/>
          <w:sz w:val="23"/>
          <w:szCs w:val="23"/>
        </w:rPr>
      </w:pPr>
      <w:r w:rsidRPr="008947AE">
        <w:rPr>
          <w:rFonts w:cs="Arial"/>
          <w:b/>
          <w:sz w:val="23"/>
          <w:szCs w:val="23"/>
        </w:rPr>
        <w:t>ACHIEVES RESULTS.</w:t>
      </w:r>
      <w:r w:rsidRPr="008947AE">
        <w:rPr>
          <w:rFonts w:cs="Arial"/>
          <w:sz w:val="23"/>
          <w:szCs w:val="23"/>
        </w:rPr>
        <w:t xml:space="preserve"> </w:t>
      </w:r>
    </w:p>
    <w:p w14:paraId="564F71AB" w14:textId="77777777" w:rsidR="009972B9" w:rsidRPr="008947AE" w:rsidRDefault="009972B9" w:rsidP="009972B9">
      <w:pPr>
        <w:pStyle w:val="ListParagraph"/>
        <w:ind w:left="360"/>
        <w:rPr>
          <w:rFonts w:cs="Arial"/>
          <w:sz w:val="23"/>
          <w:szCs w:val="23"/>
        </w:rPr>
      </w:pPr>
      <w:r w:rsidRPr="008947AE">
        <w:rPr>
          <w:rFonts w:cs="Arial"/>
          <w:sz w:val="23"/>
          <w:szCs w:val="23"/>
        </w:rPr>
        <w:t xml:space="preserve">Focuses on quality and takes responsibility for managing projects to achieve results. Identifies and uses resources wisely. Applies and builds professional expertise to meet performance expectations. Remains flexible and responds positively to change in priorities. </w:t>
      </w:r>
    </w:p>
    <w:p w14:paraId="40C8908D" w14:textId="77777777" w:rsidR="009972B9" w:rsidRPr="008947AE" w:rsidRDefault="009972B9" w:rsidP="009972B9">
      <w:pPr>
        <w:pStyle w:val="ListParagraph"/>
        <w:numPr>
          <w:ilvl w:val="0"/>
          <w:numId w:val="23"/>
        </w:numPr>
        <w:spacing w:after="160" w:line="259" w:lineRule="auto"/>
        <w:contextualSpacing/>
        <w:rPr>
          <w:rFonts w:cs="Arial"/>
          <w:sz w:val="23"/>
          <w:szCs w:val="23"/>
        </w:rPr>
      </w:pPr>
      <w:r w:rsidRPr="008947AE">
        <w:rPr>
          <w:rFonts w:cs="Arial"/>
          <w:b/>
          <w:sz w:val="23"/>
          <w:szCs w:val="23"/>
        </w:rPr>
        <w:t>BUILDS PRODUCTIVE RELATIONSHIPS.</w:t>
      </w:r>
    </w:p>
    <w:p w14:paraId="695E4C7C" w14:textId="502375F8" w:rsidR="009972B9" w:rsidRPr="008947AE" w:rsidRDefault="009972B9" w:rsidP="009972B9">
      <w:pPr>
        <w:pStyle w:val="ListParagraph"/>
        <w:ind w:left="360"/>
        <w:rPr>
          <w:rFonts w:cs="Arial"/>
          <w:sz w:val="23"/>
          <w:szCs w:val="23"/>
        </w:rPr>
      </w:pPr>
      <w:r w:rsidRPr="008947AE">
        <w:rPr>
          <w:rFonts w:cs="Arial"/>
          <w:sz w:val="23"/>
          <w:szCs w:val="23"/>
        </w:rPr>
        <w:t>Nurtures relationships with key internal and external stakeholders and colleagues. Listens to, understands, and recognises the needs of others by sharing information and seeking input from others. Values individual differences and diversity. Shares learning and supports others within the team.</w:t>
      </w:r>
      <w:r w:rsidR="00314B5A">
        <w:rPr>
          <w:rFonts w:cs="Arial"/>
          <w:sz w:val="23"/>
          <w:szCs w:val="23"/>
        </w:rPr>
        <w:br/>
      </w:r>
      <w:r w:rsidR="00314B5A">
        <w:rPr>
          <w:rFonts w:cs="Arial"/>
          <w:sz w:val="23"/>
          <w:szCs w:val="23"/>
        </w:rPr>
        <w:br/>
      </w:r>
    </w:p>
    <w:p w14:paraId="61A91407" w14:textId="77777777" w:rsidR="009972B9" w:rsidRPr="008947AE" w:rsidRDefault="009972B9" w:rsidP="009972B9">
      <w:pPr>
        <w:pStyle w:val="ListParagraph"/>
        <w:numPr>
          <w:ilvl w:val="0"/>
          <w:numId w:val="23"/>
        </w:numPr>
        <w:spacing w:after="160" w:line="259" w:lineRule="auto"/>
        <w:contextualSpacing/>
        <w:rPr>
          <w:rFonts w:cs="Arial"/>
          <w:sz w:val="23"/>
          <w:szCs w:val="23"/>
        </w:rPr>
      </w:pPr>
      <w:r w:rsidRPr="008947AE">
        <w:rPr>
          <w:rFonts w:cs="Arial"/>
          <w:b/>
          <w:sz w:val="23"/>
          <w:szCs w:val="23"/>
        </w:rPr>
        <w:lastRenderedPageBreak/>
        <w:t>EXEMPLIFIES PERSONAL INTEGRITY AND SELF-AWARENESS.</w:t>
      </w:r>
      <w:r w:rsidRPr="008947AE">
        <w:rPr>
          <w:rFonts w:cs="Arial"/>
          <w:sz w:val="23"/>
          <w:szCs w:val="23"/>
        </w:rPr>
        <w:t xml:space="preserve"> </w:t>
      </w:r>
    </w:p>
    <w:p w14:paraId="2E72285C" w14:textId="77777777" w:rsidR="009972B9" w:rsidRPr="008947AE" w:rsidRDefault="009972B9" w:rsidP="009972B9">
      <w:pPr>
        <w:pStyle w:val="ListParagraph"/>
        <w:ind w:left="360"/>
        <w:rPr>
          <w:rFonts w:cs="Arial"/>
          <w:sz w:val="23"/>
          <w:szCs w:val="23"/>
        </w:rPr>
      </w:pPr>
      <w:r w:rsidRPr="008947AE">
        <w:rPr>
          <w:rFonts w:cs="Arial"/>
          <w:sz w:val="23"/>
          <w:szCs w:val="23"/>
        </w:rPr>
        <w:t>Demonstrates public service professionalism and probity by adhering to public sector values and the Code of Conduct. Engages with risk and shows personal courage when ideas are challenged. Learns from mistakes. Commits to action by taking personal responsibility for meeting objectives and progressing work. Promotes and adopts a positive and balanced approach to work Demonstrates self-awareness and a commitment to personal development by self-evaluating performance and seeking feedback from others.</w:t>
      </w:r>
    </w:p>
    <w:p w14:paraId="6C8326C3" w14:textId="77777777" w:rsidR="009972B9" w:rsidRPr="008947AE" w:rsidRDefault="009972B9" w:rsidP="009972B9">
      <w:pPr>
        <w:pStyle w:val="ListParagraph"/>
        <w:numPr>
          <w:ilvl w:val="0"/>
          <w:numId w:val="23"/>
        </w:numPr>
        <w:spacing w:after="160" w:line="259" w:lineRule="auto"/>
        <w:contextualSpacing/>
        <w:rPr>
          <w:rFonts w:cs="Arial"/>
          <w:sz w:val="23"/>
          <w:szCs w:val="23"/>
        </w:rPr>
      </w:pPr>
      <w:r w:rsidRPr="008947AE">
        <w:rPr>
          <w:rFonts w:cs="Arial"/>
          <w:b/>
          <w:sz w:val="23"/>
          <w:szCs w:val="23"/>
        </w:rPr>
        <w:t>COMMUNICATES AND INFLUENCES EFFECTIVELY.</w:t>
      </w:r>
    </w:p>
    <w:p w14:paraId="7E7302C5" w14:textId="65F26253" w:rsidR="009972B9" w:rsidRPr="008947AE" w:rsidRDefault="009972B9" w:rsidP="00314B5A">
      <w:pPr>
        <w:pStyle w:val="ListParagraph"/>
        <w:spacing w:before="120"/>
        <w:ind w:left="357"/>
        <w:rPr>
          <w:rFonts w:cs="Arial"/>
          <w:sz w:val="23"/>
          <w:szCs w:val="23"/>
        </w:rPr>
      </w:pPr>
      <w:r w:rsidRPr="008947AE">
        <w:rPr>
          <w:rFonts w:cs="Arial"/>
          <w:sz w:val="23"/>
          <w:szCs w:val="23"/>
        </w:rPr>
        <w:t xml:space="preserve">Communicates clearly and adapts messages to suit the audience. Negotiates confidently and presents persuasive counter arguments. </w:t>
      </w:r>
      <w:r w:rsidR="00314B5A">
        <w:rPr>
          <w:rFonts w:cs="Arial"/>
          <w:sz w:val="23"/>
          <w:szCs w:val="23"/>
        </w:rPr>
        <w:br/>
      </w:r>
    </w:p>
    <w:p w14:paraId="1D3E2A31" w14:textId="77777777" w:rsidR="009972B9" w:rsidRPr="008947AE" w:rsidRDefault="009972B9" w:rsidP="009972B9">
      <w:pPr>
        <w:spacing w:after="0" w:line="240" w:lineRule="auto"/>
        <w:jc w:val="both"/>
        <w:rPr>
          <w:b/>
          <w:sz w:val="23"/>
          <w:szCs w:val="23"/>
        </w:rPr>
      </w:pPr>
      <w:r w:rsidRPr="008947AE">
        <w:rPr>
          <w:b/>
          <w:sz w:val="23"/>
          <w:szCs w:val="23"/>
        </w:rPr>
        <w:t xml:space="preserve">Desirable </w:t>
      </w:r>
    </w:p>
    <w:p w14:paraId="74E55F8E" w14:textId="77777777" w:rsidR="009972B9" w:rsidRPr="008947AE" w:rsidRDefault="009972B9" w:rsidP="009972B9">
      <w:pPr>
        <w:pStyle w:val="ListParagraph"/>
        <w:numPr>
          <w:ilvl w:val="0"/>
          <w:numId w:val="24"/>
        </w:numPr>
        <w:spacing w:after="0"/>
        <w:contextualSpacing/>
        <w:jc w:val="both"/>
        <w:rPr>
          <w:rFonts w:cs="Arial"/>
          <w:sz w:val="23"/>
          <w:szCs w:val="23"/>
        </w:rPr>
      </w:pPr>
      <w:r w:rsidRPr="008947AE">
        <w:rPr>
          <w:rFonts w:cs="Arial"/>
          <w:sz w:val="23"/>
          <w:szCs w:val="23"/>
        </w:rPr>
        <w:t xml:space="preserve">Relevant tertiary qualification. </w:t>
      </w:r>
    </w:p>
    <w:p w14:paraId="1E8FCEE9" w14:textId="77777777" w:rsidR="009972B9" w:rsidRPr="008947AE" w:rsidRDefault="009972B9" w:rsidP="009972B9">
      <w:pPr>
        <w:tabs>
          <w:tab w:val="left" w:pos="5841"/>
        </w:tabs>
        <w:rPr>
          <w:sz w:val="23"/>
          <w:szCs w:val="23"/>
        </w:rPr>
      </w:pPr>
      <w:r w:rsidRPr="008947AE">
        <w:rPr>
          <w:sz w:val="23"/>
          <w:szCs w:val="23"/>
        </w:rPr>
        <w:tab/>
      </w:r>
    </w:p>
    <w:p w14:paraId="0E019218" w14:textId="77777777" w:rsidR="009972B9" w:rsidRPr="008947AE" w:rsidRDefault="009972B9" w:rsidP="009972B9">
      <w:pPr>
        <w:rPr>
          <w:sz w:val="23"/>
          <w:szCs w:val="23"/>
        </w:rPr>
      </w:pPr>
      <w:r w:rsidRPr="008947AE">
        <w:rPr>
          <w:sz w:val="23"/>
          <w:szCs w:val="23"/>
        </w:rPr>
        <w:t>For permanent appointments you must also be eligible to live and work in Australia indefinitely. Employees engaged on fixed term appointments need a valid work visa for the duration of their contract.</w:t>
      </w:r>
    </w:p>
    <w:p w14:paraId="6D4E6733" w14:textId="77777777" w:rsidR="009972B9" w:rsidRPr="008947AE" w:rsidRDefault="009972B9" w:rsidP="009972B9">
      <w:pPr>
        <w:rPr>
          <w:sz w:val="23"/>
          <w:szCs w:val="23"/>
        </w:rPr>
      </w:pPr>
      <w:r w:rsidRPr="008947AE">
        <w:rPr>
          <w:sz w:val="23"/>
          <w:szCs w:val="23"/>
        </w:rPr>
        <w:t>Appointment is also dependent on a 100-point identification check and Criminal Records Screening Clearance.</w:t>
      </w:r>
    </w:p>
    <w:p w14:paraId="73DA107A" w14:textId="77777777" w:rsidR="009972B9" w:rsidRPr="008947AE" w:rsidRDefault="009972B9" w:rsidP="009972B9">
      <w:pPr>
        <w:pStyle w:val="Heading1"/>
        <w:rPr>
          <w:sz w:val="23"/>
          <w:szCs w:val="23"/>
        </w:rPr>
      </w:pPr>
      <w:r w:rsidRPr="008947AE">
        <w:rPr>
          <w:sz w:val="23"/>
          <w:szCs w:val="23"/>
        </w:rPr>
        <w:t>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9972B9" w:rsidRPr="008947AE" w14:paraId="21AF5076" w14:textId="77777777" w:rsidTr="00D47EE9">
        <w:trPr>
          <w:trHeight w:val="659"/>
        </w:trPr>
        <w:tc>
          <w:tcPr>
            <w:tcW w:w="3402" w:type="dxa"/>
          </w:tcPr>
          <w:p w14:paraId="0FB70964" w14:textId="77777777" w:rsidR="009972B9" w:rsidRPr="008947AE" w:rsidRDefault="009972B9" w:rsidP="00D47EE9">
            <w:pPr>
              <w:pStyle w:val="Heading3"/>
              <w:ind w:left="-113"/>
              <w:rPr>
                <w:sz w:val="23"/>
                <w:szCs w:val="23"/>
              </w:rPr>
            </w:pPr>
            <w:r w:rsidRPr="008947AE">
              <w:rPr>
                <w:sz w:val="23"/>
                <w:szCs w:val="23"/>
              </w:rPr>
              <w:t>Authorising Signature:</w:t>
            </w:r>
          </w:p>
          <w:p w14:paraId="7BEFF88C" w14:textId="77777777" w:rsidR="009972B9" w:rsidRPr="008947AE" w:rsidRDefault="009972B9" w:rsidP="00D47EE9">
            <w:pPr>
              <w:rPr>
                <w:sz w:val="23"/>
                <w:szCs w:val="23"/>
              </w:rPr>
            </w:pPr>
          </w:p>
          <w:p w14:paraId="401F0E0B" w14:textId="77777777" w:rsidR="009972B9" w:rsidRPr="008947AE" w:rsidRDefault="009972B9" w:rsidP="00D47EE9">
            <w:pPr>
              <w:rPr>
                <w:sz w:val="23"/>
                <w:szCs w:val="23"/>
              </w:rPr>
            </w:pPr>
          </w:p>
        </w:tc>
        <w:tc>
          <w:tcPr>
            <w:tcW w:w="1701" w:type="dxa"/>
          </w:tcPr>
          <w:p w14:paraId="026A8727" w14:textId="77777777" w:rsidR="009972B9" w:rsidRPr="008947AE" w:rsidRDefault="009972B9" w:rsidP="00D47EE9">
            <w:pPr>
              <w:rPr>
                <w:rFonts w:ascii="Neue Haas Grotesk Text Pro" w:hAnsi="Neue Haas Grotesk Text Pro"/>
                <w:b/>
                <w:sz w:val="23"/>
                <w:szCs w:val="23"/>
              </w:rPr>
            </w:pPr>
          </w:p>
          <w:p w14:paraId="4BCF9DC3" w14:textId="77777777" w:rsidR="009972B9" w:rsidRPr="008947AE" w:rsidRDefault="009972B9" w:rsidP="00D47EE9">
            <w:pPr>
              <w:rPr>
                <w:rFonts w:ascii="Neue Haas Grotesk Text Pro" w:hAnsi="Neue Haas Grotesk Text Pro"/>
                <w:b/>
                <w:sz w:val="23"/>
                <w:szCs w:val="23"/>
              </w:rPr>
            </w:pPr>
          </w:p>
        </w:tc>
        <w:tc>
          <w:tcPr>
            <w:tcW w:w="3119" w:type="dxa"/>
          </w:tcPr>
          <w:p w14:paraId="76E41D54" w14:textId="77777777" w:rsidR="009972B9" w:rsidRPr="008947AE" w:rsidRDefault="009972B9" w:rsidP="00D47EE9">
            <w:pPr>
              <w:pStyle w:val="Heading3"/>
              <w:rPr>
                <w:sz w:val="23"/>
                <w:szCs w:val="23"/>
              </w:rPr>
            </w:pPr>
            <w:r w:rsidRPr="008947AE">
              <w:rPr>
                <w:sz w:val="23"/>
                <w:szCs w:val="23"/>
              </w:rPr>
              <w:t>People Services:</w:t>
            </w:r>
          </w:p>
        </w:tc>
        <w:tc>
          <w:tcPr>
            <w:tcW w:w="1277" w:type="dxa"/>
          </w:tcPr>
          <w:p w14:paraId="2846080B" w14:textId="77777777" w:rsidR="009972B9" w:rsidRPr="008947AE" w:rsidRDefault="009972B9" w:rsidP="00D47EE9">
            <w:pPr>
              <w:rPr>
                <w:rFonts w:ascii="Neue Haas Grotesk Text Pro" w:hAnsi="Neue Haas Grotesk Text Pro"/>
                <w:b/>
                <w:sz w:val="23"/>
                <w:szCs w:val="23"/>
              </w:rPr>
            </w:pPr>
          </w:p>
        </w:tc>
      </w:tr>
      <w:tr w:rsidR="009972B9" w:rsidRPr="008947AE" w14:paraId="7335DBF3" w14:textId="77777777" w:rsidTr="00D47EE9">
        <w:trPr>
          <w:trHeight w:val="542"/>
        </w:trPr>
        <w:tc>
          <w:tcPr>
            <w:tcW w:w="3402" w:type="dxa"/>
          </w:tcPr>
          <w:p w14:paraId="5DAE76C3" w14:textId="77777777" w:rsidR="009972B9" w:rsidRPr="008947AE" w:rsidRDefault="009972B9" w:rsidP="00D47EE9">
            <w:pPr>
              <w:pStyle w:val="Heading3"/>
              <w:ind w:hanging="113"/>
              <w:rPr>
                <w:sz w:val="23"/>
                <w:szCs w:val="23"/>
              </w:rPr>
            </w:pPr>
            <w:r w:rsidRPr="008947AE">
              <w:rPr>
                <w:sz w:val="23"/>
                <w:szCs w:val="23"/>
              </w:rPr>
              <w:t>Date:</w:t>
            </w:r>
          </w:p>
        </w:tc>
        <w:tc>
          <w:tcPr>
            <w:tcW w:w="1701" w:type="dxa"/>
          </w:tcPr>
          <w:p w14:paraId="090F0404" w14:textId="77777777" w:rsidR="009972B9" w:rsidRPr="008947AE" w:rsidRDefault="009972B9" w:rsidP="00D47EE9">
            <w:pPr>
              <w:rPr>
                <w:rFonts w:ascii="Neue Haas Grotesk Text Pro" w:hAnsi="Neue Haas Grotesk Text Pro"/>
                <w:b/>
                <w:sz w:val="23"/>
                <w:szCs w:val="23"/>
              </w:rPr>
            </w:pPr>
          </w:p>
          <w:p w14:paraId="2019B385" w14:textId="77777777" w:rsidR="009972B9" w:rsidRPr="008947AE" w:rsidRDefault="009972B9" w:rsidP="00D47EE9">
            <w:pPr>
              <w:rPr>
                <w:rFonts w:ascii="Neue Haas Grotesk Text Pro" w:hAnsi="Neue Haas Grotesk Text Pro"/>
                <w:b/>
                <w:sz w:val="23"/>
                <w:szCs w:val="23"/>
              </w:rPr>
            </w:pPr>
          </w:p>
        </w:tc>
        <w:tc>
          <w:tcPr>
            <w:tcW w:w="3119" w:type="dxa"/>
          </w:tcPr>
          <w:p w14:paraId="1508B349" w14:textId="77777777" w:rsidR="009972B9" w:rsidRPr="008947AE" w:rsidRDefault="009972B9" w:rsidP="00D47EE9">
            <w:pPr>
              <w:pStyle w:val="Heading3"/>
              <w:rPr>
                <w:sz w:val="23"/>
                <w:szCs w:val="23"/>
              </w:rPr>
            </w:pPr>
            <w:r w:rsidRPr="008947AE">
              <w:rPr>
                <w:sz w:val="23"/>
                <w:szCs w:val="23"/>
              </w:rPr>
              <w:t>Date:</w:t>
            </w:r>
          </w:p>
        </w:tc>
        <w:tc>
          <w:tcPr>
            <w:tcW w:w="1277" w:type="dxa"/>
          </w:tcPr>
          <w:p w14:paraId="09D2B351" w14:textId="77777777" w:rsidR="009972B9" w:rsidRPr="008947AE" w:rsidRDefault="009972B9" w:rsidP="00D47EE9">
            <w:pPr>
              <w:rPr>
                <w:rFonts w:ascii="Neue Haas Grotesk Text Pro" w:hAnsi="Neue Haas Grotesk Text Pro"/>
                <w:b/>
                <w:sz w:val="23"/>
                <w:szCs w:val="23"/>
              </w:rPr>
            </w:pPr>
          </w:p>
        </w:tc>
      </w:tr>
    </w:tbl>
    <w:p w14:paraId="7443FBF3" w14:textId="77777777" w:rsidR="009972B9" w:rsidRPr="008947AE" w:rsidRDefault="009972B9" w:rsidP="009972B9">
      <w:pPr>
        <w:rPr>
          <w:rFonts w:ascii="Neue Haas Grotesk Text Pro" w:hAnsi="Neue Haas Grotesk Text Pro"/>
          <w:sz w:val="23"/>
          <w:szCs w:val="23"/>
        </w:rPr>
      </w:pPr>
    </w:p>
    <w:p w14:paraId="48A53E74" w14:textId="77777777" w:rsidR="00756536" w:rsidRPr="000911C2" w:rsidRDefault="00756536" w:rsidP="005A2701">
      <w:pPr>
        <w:rPr>
          <w:rFonts w:ascii="Neue Haas Grotesk Text Pro" w:hAnsi="Neue Haas Grotesk Text Pro"/>
          <w:sz w:val="23"/>
          <w:szCs w:val="23"/>
        </w:rPr>
      </w:pPr>
    </w:p>
    <w:sectPr w:rsidR="00756536" w:rsidRPr="000911C2" w:rsidSect="00E00546">
      <w:headerReference w:type="default" r:id="rId11"/>
      <w:footerReference w:type="even" r:id="rId12"/>
      <w:footerReference w:type="default" r:id="rId13"/>
      <w:headerReference w:type="first" r:id="rId14"/>
      <w:footerReference w:type="first" r:id="rId15"/>
      <w:pgSz w:w="11906" w:h="16838"/>
      <w:pgMar w:top="1134"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A59C" w14:textId="77777777" w:rsidR="00DB08AF" w:rsidRDefault="00DB08AF" w:rsidP="00756536">
      <w:pPr>
        <w:spacing w:after="0" w:line="240" w:lineRule="auto"/>
      </w:pPr>
      <w:r>
        <w:separator/>
      </w:r>
    </w:p>
  </w:endnote>
  <w:endnote w:type="continuationSeparator" w:id="0">
    <w:p w14:paraId="3170135B" w14:textId="77777777" w:rsidR="00DB08AF" w:rsidRDefault="00DB08AF"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0DFDA1A7"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1AD5" w14:textId="77777777" w:rsidR="00DB08AF" w:rsidRDefault="00DB08AF" w:rsidP="00756536">
      <w:pPr>
        <w:spacing w:after="0" w:line="240" w:lineRule="auto"/>
      </w:pPr>
      <w:r>
        <w:separator/>
      </w:r>
    </w:p>
  </w:footnote>
  <w:footnote w:type="continuationSeparator" w:id="0">
    <w:p w14:paraId="2A2DB8D5" w14:textId="77777777" w:rsidR="00DB08AF" w:rsidRDefault="00DB08AF"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51A2CA44">
          <wp:simplePos x="0" y="0"/>
          <wp:positionH relativeFrom="page">
            <wp:posOffset>3383967</wp:posOffset>
          </wp:positionH>
          <wp:positionV relativeFrom="paragraph">
            <wp:posOffset>-450215</wp:posOffset>
          </wp:positionV>
          <wp:extent cx="4192990" cy="873303"/>
          <wp:effectExtent l="0" t="0" r="0" b="3175"/>
          <wp:wrapNone/>
          <wp:docPr id="182346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137" cy="8789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64384" behindDoc="0" locked="0" layoutInCell="1" allowOverlap="1" wp14:anchorId="460AE528" wp14:editId="51C3B668">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1302656231"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79CC"/>
    <w:multiLevelType w:val="hybridMultilevel"/>
    <w:tmpl w:val="AA6A13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735087"/>
    <w:multiLevelType w:val="hybridMultilevel"/>
    <w:tmpl w:val="075A7D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3008E"/>
    <w:multiLevelType w:val="hybridMultilevel"/>
    <w:tmpl w:val="EAA2E1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8734DF"/>
    <w:multiLevelType w:val="hybridMultilevel"/>
    <w:tmpl w:val="4D3EA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F71D4C"/>
    <w:multiLevelType w:val="hybridMultilevel"/>
    <w:tmpl w:val="830AC0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61B22439"/>
    <w:multiLevelType w:val="hybridMultilevel"/>
    <w:tmpl w:val="BABAE1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7"/>
  </w:num>
  <w:num w:numId="2" w16cid:durableId="13762725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5"/>
  </w:num>
  <w:num w:numId="4" w16cid:durableId="1326056679">
    <w:abstractNumId w:val="14"/>
  </w:num>
  <w:num w:numId="5" w16cid:durableId="165638337">
    <w:abstractNumId w:val="11"/>
  </w:num>
  <w:num w:numId="6" w16cid:durableId="1123695853">
    <w:abstractNumId w:val="10"/>
  </w:num>
  <w:num w:numId="7" w16cid:durableId="1581137968">
    <w:abstractNumId w:val="3"/>
  </w:num>
  <w:num w:numId="8" w16cid:durableId="210381380">
    <w:abstractNumId w:val="6"/>
  </w:num>
  <w:num w:numId="9" w16cid:durableId="1667249357">
    <w:abstractNumId w:val="22"/>
  </w:num>
  <w:num w:numId="10" w16cid:durableId="1636334645">
    <w:abstractNumId w:val="13"/>
  </w:num>
  <w:num w:numId="11" w16cid:durableId="1816409002">
    <w:abstractNumId w:val="8"/>
  </w:num>
  <w:num w:numId="12" w16cid:durableId="1771470451">
    <w:abstractNumId w:val="9"/>
  </w:num>
  <w:num w:numId="13" w16cid:durableId="2042582278">
    <w:abstractNumId w:val="21"/>
  </w:num>
  <w:num w:numId="14" w16cid:durableId="301085470">
    <w:abstractNumId w:val="16"/>
  </w:num>
  <w:num w:numId="15" w16cid:durableId="24185399">
    <w:abstractNumId w:val="2"/>
  </w:num>
  <w:num w:numId="16" w16cid:durableId="169490687">
    <w:abstractNumId w:val="12"/>
  </w:num>
  <w:num w:numId="17" w16cid:durableId="629700953">
    <w:abstractNumId w:val="1"/>
  </w:num>
  <w:num w:numId="18" w16cid:durableId="1341004227">
    <w:abstractNumId w:val="18"/>
  </w:num>
  <w:num w:numId="19" w16cid:durableId="1487360195">
    <w:abstractNumId w:val="20"/>
  </w:num>
  <w:num w:numId="20" w16cid:durableId="1306855351">
    <w:abstractNumId w:val="4"/>
  </w:num>
  <w:num w:numId="21" w16cid:durableId="2015909954">
    <w:abstractNumId w:val="0"/>
  </w:num>
  <w:num w:numId="22" w16cid:durableId="259921508">
    <w:abstractNumId w:val="19"/>
  </w:num>
  <w:num w:numId="23" w16cid:durableId="2142993926">
    <w:abstractNumId w:val="17"/>
  </w:num>
  <w:num w:numId="24" w16cid:durableId="3538468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5438"/>
    <w:rsid w:val="00044FF3"/>
    <w:rsid w:val="00051CBF"/>
    <w:rsid w:val="0006478A"/>
    <w:rsid w:val="00070651"/>
    <w:rsid w:val="00083B4F"/>
    <w:rsid w:val="000911C2"/>
    <w:rsid w:val="000A6FA1"/>
    <w:rsid w:val="000A7349"/>
    <w:rsid w:val="000D0AF3"/>
    <w:rsid w:val="000D0F48"/>
    <w:rsid w:val="00132369"/>
    <w:rsid w:val="001341B6"/>
    <w:rsid w:val="0013796F"/>
    <w:rsid w:val="00145E44"/>
    <w:rsid w:val="001566A9"/>
    <w:rsid w:val="001633FD"/>
    <w:rsid w:val="001744F5"/>
    <w:rsid w:val="001A50FB"/>
    <w:rsid w:val="001B27CF"/>
    <w:rsid w:val="001B52F9"/>
    <w:rsid w:val="001B54FD"/>
    <w:rsid w:val="001B7A87"/>
    <w:rsid w:val="001B7CD1"/>
    <w:rsid w:val="001D7F61"/>
    <w:rsid w:val="0020694D"/>
    <w:rsid w:val="002156DB"/>
    <w:rsid w:val="00240860"/>
    <w:rsid w:val="00246EF2"/>
    <w:rsid w:val="0024718E"/>
    <w:rsid w:val="00260B8D"/>
    <w:rsid w:val="002656BC"/>
    <w:rsid w:val="00280169"/>
    <w:rsid w:val="00280C06"/>
    <w:rsid w:val="00283EB7"/>
    <w:rsid w:val="002843C7"/>
    <w:rsid w:val="002874CE"/>
    <w:rsid w:val="002937C1"/>
    <w:rsid w:val="002956EB"/>
    <w:rsid w:val="002B657B"/>
    <w:rsid w:val="002D3E24"/>
    <w:rsid w:val="002F64E9"/>
    <w:rsid w:val="00300C8A"/>
    <w:rsid w:val="0030375D"/>
    <w:rsid w:val="00314B5A"/>
    <w:rsid w:val="0033476B"/>
    <w:rsid w:val="003522C2"/>
    <w:rsid w:val="0036514A"/>
    <w:rsid w:val="00394896"/>
    <w:rsid w:val="003A12FE"/>
    <w:rsid w:val="003A787A"/>
    <w:rsid w:val="003C1C26"/>
    <w:rsid w:val="003D0A66"/>
    <w:rsid w:val="003E0C5A"/>
    <w:rsid w:val="003E774B"/>
    <w:rsid w:val="00414112"/>
    <w:rsid w:val="00422282"/>
    <w:rsid w:val="00430199"/>
    <w:rsid w:val="00430D2F"/>
    <w:rsid w:val="00445B58"/>
    <w:rsid w:val="00462800"/>
    <w:rsid w:val="004658EA"/>
    <w:rsid w:val="00471F7F"/>
    <w:rsid w:val="00477E21"/>
    <w:rsid w:val="00497F38"/>
    <w:rsid w:val="004A3655"/>
    <w:rsid w:val="004A4EC3"/>
    <w:rsid w:val="004B2309"/>
    <w:rsid w:val="004C7E95"/>
    <w:rsid w:val="004E000D"/>
    <w:rsid w:val="004E1073"/>
    <w:rsid w:val="004E2FC6"/>
    <w:rsid w:val="004E6C0C"/>
    <w:rsid w:val="004F457E"/>
    <w:rsid w:val="00515264"/>
    <w:rsid w:val="005257D4"/>
    <w:rsid w:val="00536F4B"/>
    <w:rsid w:val="0057229A"/>
    <w:rsid w:val="00597908"/>
    <w:rsid w:val="005A2699"/>
    <w:rsid w:val="005A2701"/>
    <w:rsid w:val="005E2416"/>
    <w:rsid w:val="005F483B"/>
    <w:rsid w:val="00601500"/>
    <w:rsid w:val="00631D31"/>
    <w:rsid w:val="00643505"/>
    <w:rsid w:val="00647E4B"/>
    <w:rsid w:val="0065710B"/>
    <w:rsid w:val="00663B85"/>
    <w:rsid w:val="0068201A"/>
    <w:rsid w:val="00686F75"/>
    <w:rsid w:val="006C1C4D"/>
    <w:rsid w:val="006C2F8C"/>
    <w:rsid w:val="006D03B1"/>
    <w:rsid w:val="006F17A8"/>
    <w:rsid w:val="00721C5E"/>
    <w:rsid w:val="00727985"/>
    <w:rsid w:val="00733555"/>
    <w:rsid w:val="007421AD"/>
    <w:rsid w:val="00746389"/>
    <w:rsid w:val="00756536"/>
    <w:rsid w:val="007734E6"/>
    <w:rsid w:val="0078067E"/>
    <w:rsid w:val="007A0EFF"/>
    <w:rsid w:val="007A1F18"/>
    <w:rsid w:val="007B2076"/>
    <w:rsid w:val="007D5860"/>
    <w:rsid w:val="007E7FB0"/>
    <w:rsid w:val="00814628"/>
    <w:rsid w:val="0084252E"/>
    <w:rsid w:val="008531F0"/>
    <w:rsid w:val="00862167"/>
    <w:rsid w:val="00892424"/>
    <w:rsid w:val="008A3F8E"/>
    <w:rsid w:val="008E0484"/>
    <w:rsid w:val="008E36D7"/>
    <w:rsid w:val="009075E2"/>
    <w:rsid w:val="009514B1"/>
    <w:rsid w:val="0095755A"/>
    <w:rsid w:val="00961CC9"/>
    <w:rsid w:val="00971722"/>
    <w:rsid w:val="009972B9"/>
    <w:rsid w:val="009C0ED6"/>
    <w:rsid w:val="009C2784"/>
    <w:rsid w:val="00A00DF9"/>
    <w:rsid w:val="00A10E06"/>
    <w:rsid w:val="00A10F05"/>
    <w:rsid w:val="00A2480E"/>
    <w:rsid w:val="00A274B9"/>
    <w:rsid w:val="00A40911"/>
    <w:rsid w:val="00A458EC"/>
    <w:rsid w:val="00A518E1"/>
    <w:rsid w:val="00A72186"/>
    <w:rsid w:val="00A86D4C"/>
    <w:rsid w:val="00A93FF1"/>
    <w:rsid w:val="00A972A4"/>
    <w:rsid w:val="00AA416A"/>
    <w:rsid w:val="00AA4641"/>
    <w:rsid w:val="00AC73F2"/>
    <w:rsid w:val="00AE1B75"/>
    <w:rsid w:val="00B1554C"/>
    <w:rsid w:val="00B646FB"/>
    <w:rsid w:val="00B8027B"/>
    <w:rsid w:val="00B96037"/>
    <w:rsid w:val="00BB541C"/>
    <w:rsid w:val="00BC5C3F"/>
    <w:rsid w:val="00BD1B8C"/>
    <w:rsid w:val="00C06ECB"/>
    <w:rsid w:val="00C12F9A"/>
    <w:rsid w:val="00C14680"/>
    <w:rsid w:val="00C15B56"/>
    <w:rsid w:val="00C201F1"/>
    <w:rsid w:val="00C26E45"/>
    <w:rsid w:val="00C45F38"/>
    <w:rsid w:val="00C47631"/>
    <w:rsid w:val="00C54A97"/>
    <w:rsid w:val="00C639AF"/>
    <w:rsid w:val="00C86886"/>
    <w:rsid w:val="00CA7A73"/>
    <w:rsid w:val="00CB1ECC"/>
    <w:rsid w:val="00CD00BF"/>
    <w:rsid w:val="00CD0B02"/>
    <w:rsid w:val="00CD5073"/>
    <w:rsid w:val="00CF070B"/>
    <w:rsid w:val="00D007E3"/>
    <w:rsid w:val="00D173A8"/>
    <w:rsid w:val="00D2368C"/>
    <w:rsid w:val="00D4729F"/>
    <w:rsid w:val="00D718AA"/>
    <w:rsid w:val="00D71E76"/>
    <w:rsid w:val="00D732A5"/>
    <w:rsid w:val="00D7570D"/>
    <w:rsid w:val="00D801DC"/>
    <w:rsid w:val="00DB08AF"/>
    <w:rsid w:val="00DB4C61"/>
    <w:rsid w:val="00DF1A44"/>
    <w:rsid w:val="00DF4B7C"/>
    <w:rsid w:val="00DF7BA5"/>
    <w:rsid w:val="00E00546"/>
    <w:rsid w:val="00E02BA3"/>
    <w:rsid w:val="00E14F0F"/>
    <w:rsid w:val="00E20BE0"/>
    <w:rsid w:val="00E23326"/>
    <w:rsid w:val="00E45BEC"/>
    <w:rsid w:val="00E45F64"/>
    <w:rsid w:val="00E4641B"/>
    <w:rsid w:val="00E61CE6"/>
    <w:rsid w:val="00EA11AC"/>
    <w:rsid w:val="00EC7340"/>
    <w:rsid w:val="00ED18BE"/>
    <w:rsid w:val="00ED68B9"/>
    <w:rsid w:val="00ED7D74"/>
    <w:rsid w:val="00EE13A1"/>
    <w:rsid w:val="00EF2F5D"/>
    <w:rsid w:val="00F02587"/>
    <w:rsid w:val="00F156D2"/>
    <w:rsid w:val="00F167A5"/>
    <w:rsid w:val="00F51C71"/>
    <w:rsid w:val="00F95B4C"/>
    <w:rsid w:val="00FA1359"/>
    <w:rsid w:val="00FA7287"/>
    <w:rsid w:val="00FB2D81"/>
    <w:rsid w:val="00FD7C45"/>
    <w:rsid w:val="00FE0D47"/>
    <w:rsid w:val="00FE5411"/>
    <w:rsid w:val="00FF3F69"/>
    <w:rsid w:val="00FF59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2.xml><?xml version="1.0" encoding="utf-8"?>
<ds:datastoreItem xmlns:ds="http://schemas.openxmlformats.org/officeDocument/2006/customXml" ds:itemID="{0D486EFD-65BC-4DE6-A820-132570A6F814}">
  <ds:schemaRefs>
    <ds:schemaRef ds:uri="http://purl.org/dc/elements/1.1/"/>
    <ds:schemaRef ds:uri="http://schemas.microsoft.com/office/infopath/2007/PartnerControls"/>
    <ds:schemaRef ds:uri="http://www.w3.org/XML/1998/namespace"/>
    <ds:schemaRef ds:uri="http://purl.org/dc/terms/"/>
    <ds:schemaRef ds:uri="c69012fe-9a92-4954-b0a7-853fae50b610"/>
    <ds:schemaRef ds:uri="http://schemas.microsoft.com/office/2006/metadata/properties"/>
    <ds:schemaRef ds:uri="a991264a-cd92-493e-8f32-b2890e390722"/>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4.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Courtney, Alicia</cp:lastModifiedBy>
  <cp:revision>5</cp:revision>
  <cp:lastPrinted>2024-03-14T05:17:00Z</cp:lastPrinted>
  <dcterms:created xsi:type="dcterms:W3CDTF">2025-03-13T04:29:00Z</dcterms:created>
  <dcterms:modified xsi:type="dcterms:W3CDTF">2025-03-13T04:42:00Z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367442089</vt:i4>
  </property>
  <property fmtid="{D5CDD505-2E9C-101B-9397-08002B2CF9AE}" pid="10" name="_NewReviewCycle">
    <vt:lpwstr/>
  </property>
  <property fmtid="{D5CDD505-2E9C-101B-9397-08002B2CF9AE}" pid="11" name="_EmailSubject">
    <vt:lpwstr>JDF Template - Response from People and Payroll Services [SR-0011424]</vt:lpwstr>
  </property>
  <property fmtid="{D5CDD505-2E9C-101B-9397-08002B2CF9AE}" pid="12" name="_AuthorEmail">
    <vt:lpwstr>Gavin.Seredynski@dpc.wa.gov.au</vt:lpwstr>
  </property>
  <property fmtid="{D5CDD505-2E9C-101B-9397-08002B2CF9AE}" pid="13" name="_AuthorEmailDisplayName">
    <vt:lpwstr>Seredynski, Gavin</vt:lpwstr>
  </property>
  <property fmtid="{D5CDD505-2E9C-101B-9397-08002B2CF9AE}" pid="14" name="_PreviousAdHocReviewCycleID">
    <vt:i4>2016571752</vt:i4>
  </property>
  <property fmtid="{D5CDD505-2E9C-101B-9397-08002B2CF9AE}" pid="15" name="ContentTypeId">
    <vt:lpwstr>0x01010070D56267112CDC4FB0D8582F58FF7CE1</vt:lpwstr>
  </property>
  <property fmtid="{D5CDD505-2E9C-101B-9397-08002B2CF9AE}" pid="16" name="_ReviewingToolsShownOnce">
    <vt:lpwstr/>
  </property>
</Properties>
</file>