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9D8D" w14:textId="7EC797AB"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5511B5">
        <w:rPr>
          <w:rFonts w:ascii="Arial Rounded MT Bold" w:hAnsi="Arial Rounded MT Bold" w:cs="Arial"/>
          <w:color w:val="auto"/>
          <w:kern w:val="32"/>
          <w:sz w:val="32"/>
          <w:szCs w:val="32"/>
        </w:rPr>
        <w:t>Principal Financial Accountant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53A797B2" w:rsidR="001D63A8" w:rsidRPr="001D63A8" w:rsidRDefault="005511B5" w:rsidP="001D63A8">
            <w:pPr>
              <w:spacing w:before="0" w:after="0" w:line="240" w:lineRule="auto"/>
              <w:ind w:left="284"/>
              <w:rPr>
                <w:rFonts w:ascii="Aptos" w:hAnsi="Aptos" w:cs="Arial"/>
                <w:sz w:val="20"/>
              </w:rPr>
            </w:pPr>
            <w:r>
              <w:rPr>
                <w:rFonts w:ascii="Aptos" w:hAnsi="Aptos" w:cs="Arial"/>
                <w:sz w:val="20"/>
              </w:rPr>
              <w:t>16621</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66FD9437" w:rsidR="001D63A8" w:rsidRPr="001D63A8" w:rsidRDefault="00000000"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5511B5">
                  <w:rPr>
                    <w:rFonts w:ascii="Aptos" w:hAnsi="Aptos" w:cs="Arial"/>
                    <w:sz w:val="20"/>
                  </w:rPr>
                  <w:t>Level 7</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4A316D23" w:rsidR="001D63A8" w:rsidRPr="001D63A8" w:rsidRDefault="00361E6F" w:rsidP="001D63A8">
            <w:pPr>
              <w:spacing w:before="0" w:after="0" w:line="240" w:lineRule="auto"/>
              <w:ind w:left="284"/>
              <w:rPr>
                <w:rFonts w:ascii="Aptos" w:hAnsi="Aptos" w:cs="Arial"/>
                <w:sz w:val="20"/>
              </w:rPr>
            </w:pPr>
            <w:r>
              <w:rPr>
                <w:rFonts w:ascii="Aptos" w:hAnsi="Aptos" w:cs="Arial"/>
                <w:sz w:val="20"/>
              </w:rPr>
              <w:t>Racing, Gaming &amp; Liquor</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1F76FA4B" w:rsidR="001D63A8" w:rsidRPr="001D63A8" w:rsidRDefault="0086368A" w:rsidP="001D63A8">
            <w:pPr>
              <w:spacing w:before="0" w:after="0" w:line="240" w:lineRule="auto"/>
              <w:ind w:left="284"/>
              <w:rPr>
                <w:rFonts w:ascii="Aptos" w:hAnsi="Aptos" w:cs="Arial"/>
                <w:sz w:val="20"/>
              </w:rPr>
            </w:pPr>
            <w:r>
              <w:rPr>
                <w:rFonts w:ascii="Aptos" w:hAnsi="Aptos" w:cs="Arial"/>
                <w:sz w:val="20"/>
              </w:rPr>
              <w:t>Office of the GWC</w:t>
            </w:r>
          </w:p>
        </w:tc>
      </w:tr>
      <w:tr w:rsidR="001D63A8" w:rsidRPr="001D63A8" w14:paraId="4776E094" w14:textId="77777777" w:rsidTr="00361E6F">
        <w:trPr>
          <w:trHeight w:val="119"/>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0DBECD58" w:rsidR="001D63A8" w:rsidRPr="001D63A8" w:rsidRDefault="00361E6F" w:rsidP="001D63A8">
            <w:pPr>
              <w:spacing w:before="0" w:after="0" w:line="240" w:lineRule="auto"/>
              <w:ind w:left="284"/>
              <w:rPr>
                <w:rFonts w:ascii="Aptos" w:hAnsi="Aptos" w:cs="Arial"/>
                <w:sz w:val="20"/>
              </w:rPr>
            </w:pPr>
            <w:r>
              <w:rPr>
                <w:rFonts w:ascii="Aptos" w:hAnsi="Aptos" w:cs="Arial"/>
                <w:sz w:val="20"/>
              </w:rPr>
              <w:t xml:space="preserve">15769 - </w:t>
            </w:r>
            <w:r w:rsidR="0086368A" w:rsidRPr="0086368A">
              <w:rPr>
                <w:rFonts w:ascii="Aptos" w:hAnsi="Aptos" w:cs="Arial"/>
                <w:sz w:val="20"/>
              </w:rPr>
              <w:t>General Manager (CFO) - Finance - Office of the GWC</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1636EE2D" w:rsidR="001D63A8" w:rsidRPr="001D63A8" w:rsidRDefault="0086368A" w:rsidP="001D63A8">
            <w:pPr>
              <w:spacing w:before="0" w:after="0" w:line="240" w:lineRule="auto"/>
              <w:ind w:left="284"/>
              <w:rPr>
                <w:rFonts w:ascii="Aptos" w:hAnsi="Aptos" w:cs="Arial"/>
                <w:sz w:val="20"/>
              </w:rPr>
            </w:pPr>
            <w:r>
              <w:rPr>
                <w:rFonts w:ascii="Aptos" w:hAnsi="Aptos" w:cs="Arial"/>
                <w:sz w:val="20"/>
              </w:rPr>
              <w:t>1</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500EBE3" w14:textId="77777777" w:rsidR="00283461" w:rsidRDefault="00650EDB" w:rsidP="001D63A8">
      <w:pPr>
        <w:pBdr>
          <w:bottom w:val="single" w:sz="4" w:space="1" w:color="auto"/>
        </w:pBdr>
        <w:tabs>
          <w:tab w:val="left" w:pos="709"/>
        </w:tabs>
        <w:spacing w:after="120"/>
        <w:ind w:left="284"/>
        <w:outlineLvl w:val="1"/>
        <w:rPr>
          <w:rFonts w:ascii="Aptos" w:hAnsi="Aptos"/>
        </w:rPr>
      </w:pPr>
      <w:r w:rsidRPr="00650EDB">
        <w:rPr>
          <w:rFonts w:ascii="Aptos" w:hAnsi="Aptos"/>
        </w:rPr>
        <w:t>The Racing, Gaming and Liquor team regulates and maintains the integrity of all lawful racing, gambling, and liquor activities in the state by providing guidance for industry to maintain compliance with relevant legislation for the benefit of all Western Australians. </w:t>
      </w:r>
    </w:p>
    <w:p w14:paraId="63CA6937" w14:textId="16EA8265" w:rsidR="00283461" w:rsidRPr="00283461" w:rsidRDefault="00283461" w:rsidP="00283461">
      <w:pPr>
        <w:pBdr>
          <w:bottom w:val="single" w:sz="4" w:space="1" w:color="auto"/>
        </w:pBdr>
        <w:tabs>
          <w:tab w:val="left" w:pos="709"/>
        </w:tabs>
        <w:spacing w:after="120"/>
        <w:ind w:left="284"/>
        <w:outlineLvl w:val="1"/>
        <w:rPr>
          <w:rFonts w:ascii="Aptos" w:hAnsi="Aptos"/>
        </w:rPr>
      </w:pPr>
      <w:r w:rsidRPr="00283461">
        <w:rPr>
          <w:rFonts w:ascii="Aptos" w:hAnsi="Aptos"/>
        </w:rPr>
        <w:t>The Office of the Gaming and Wagering Commission of Western Australia (GWC or the Commission) is responsible for administering laws relating to gaming and wagering in Western Australia.</w:t>
      </w:r>
      <w:r w:rsidRPr="00283461">
        <w:rPr>
          <w:rFonts w:ascii="Arial" w:hAnsi="Arial" w:cs="Arial"/>
        </w:rPr>
        <w:t> </w:t>
      </w:r>
      <w:r w:rsidRPr="00283461">
        <w:rPr>
          <w:rFonts w:ascii="Aptos" w:hAnsi="Aptos"/>
        </w:rPr>
        <w:t xml:space="preserve"> The Gaming and Wagering Commission Act 1987 establishes the Commission to control and regulate gambling in the industries of gaming and wagering. It provides the regulatory framework enabling permitted gambling. Other legislation administered are the Casino Control Act 1984, the Betting Control Act 1954 and the Racing and Wagering Western Australia Act 2003.</w:t>
      </w:r>
      <w:r w:rsidRPr="00283461">
        <w:rPr>
          <w:rFonts w:ascii="Arial" w:hAnsi="Arial" w:cs="Arial"/>
        </w:rPr>
        <w:t> </w:t>
      </w:r>
      <w:r w:rsidRPr="00283461">
        <w:rPr>
          <w:rFonts w:ascii="Aptos" w:hAnsi="Aptos"/>
        </w:rPr>
        <w:t xml:space="preserve"> </w:t>
      </w:r>
    </w:p>
    <w:p w14:paraId="667F91B5" w14:textId="49E3823D" w:rsidR="00650EDB" w:rsidRDefault="00283461" w:rsidP="00283461">
      <w:pPr>
        <w:pBdr>
          <w:bottom w:val="single" w:sz="4" w:space="1" w:color="auto"/>
        </w:pBdr>
        <w:tabs>
          <w:tab w:val="left" w:pos="709"/>
        </w:tabs>
        <w:spacing w:after="120"/>
        <w:ind w:left="284"/>
        <w:outlineLvl w:val="1"/>
        <w:rPr>
          <w:rFonts w:ascii="Aptos" w:hAnsi="Aptos"/>
        </w:rPr>
      </w:pPr>
      <w:r w:rsidRPr="00283461">
        <w:rPr>
          <w:rFonts w:ascii="Aptos" w:hAnsi="Aptos"/>
        </w:rPr>
        <w:t>The Commission is a State Government statutory authority and has obligations under the Financial Management Act 2006 and associated Treasurer’s Instructions.</w:t>
      </w:r>
      <w:r w:rsidRPr="00283461">
        <w:rPr>
          <w:rFonts w:ascii="Arial" w:hAnsi="Arial" w:cs="Arial"/>
        </w:rPr>
        <w:t> </w:t>
      </w:r>
      <w:r w:rsidR="005511B5">
        <w:rPr>
          <w:rFonts w:ascii="Aptos" w:hAnsi="Aptos"/>
        </w:rPr>
        <w:br/>
      </w:r>
    </w:p>
    <w:p w14:paraId="1BB60F2A" w14:textId="1EA62253"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07A6776" w14:textId="5A7949C6" w:rsidR="00CE7C7C" w:rsidRPr="00CE7C7C" w:rsidRDefault="00CE7C7C" w:rsidP="00CE7C7C">
      <w:pPr>
        <w:spacing w:after="60"/>
        <w:ind w:left="284"/>
        <w:rPr>
          <w:rFonts w:ascii="Aptos" w:hAnsi="Aptos"/>
        </w:rPr>
      </w:pPr>
      <w:r w:rsidRPr="00CE7C7C">
        <w:rPr>
          <w:rFonts w:ascii="Aptos" w:hAnsi="Aptos"/>
        </w:rPr>
        <w:t xml:space="preserve">The </w:t>
      </w:r>
      <w:r w:rsidR="00657981">
        <w:rPr>
          <w:rFonts w:ascii="Aptos" w:hAnsi="Aptos"/>
        </w:rPr>
        <w:t>Principal Financial Accountant</w:t>
      </w:r>
      <w:r w:rsidRPr="00CE7C7C">
        <w:rPr>
          <w:rFonts w:ascii="Aptos" w:hAnsi="Aptos"/>
        </w:rPr>
        <w:t xml:space="preserve"> is responsible for ensuring the financial, human, and operational resources of the Gaming and Wagering Commission of WA (the Commission) are effectively deployed to support the delivery of the Commission’s responsibilities. This position oversees all statutory financial and reporting obligations for the Commission including financial management, </w:t>
      </w:r>
      <w:r w:rsidRPr="00CE7C7C">
        <w:rPr>
          <w:rFonts w:ascii="Aptos" w:hAnsi="Aptos"/>
        </w:rPr>
        <w:lastRenderedPageBreak/>
        <w:t xml:space="preserve">procurement, and internal assurance and auditing for the purpose of reform, regulation and maintaining the Commission’s integrity of gaming and wagering activities in Western Australia.  </w:t>
      </w:r>
      <w:r w:rsidR="00896171">
        <w:rPr>
          <w:rFonts w:ascii="Aptos" w:hAnsi="Aptos"/>
        </w:rPr>
        <w:t>The role w</w:t>
      </w:r>
      <w:r w:rsidRPr="00CE7C7C">
        <w:rPr>
          <w:rFonts w:ascii="Aptos" w:hAnsi="Aptos"/>
        </w:rPr>
        <w:t>orks collaboratively within the agency and across portfolio organisations to deliver high quality, professional financial management advice and services.</w:t>
      </w:r>
    </w:p>
    <w:p w14:paraId="12DFE938" w14:textId="77777777" w:rsidR="00CE7C7C" w:rsidRPr="00CE7C7C" w:rsidRDefault="00CE7C7C" w:rsidP="00CE7C7C">
      <w:pPr>
        <w:spacing w:after="60"/>
        <w:ind w:left="284"/>
        <w:rPr>
          <w:rFonts w:ascii="Aptos" w:hAnsi="Aptos"/>
        </w:rPr>
      </w:pPr>
      <w:r w:rsidRPr="00CE7C7C">
        <w:rPr>
          <w:rFonts w:ascii="Aptos" w:hAnsi="Aptos"/>
        </w:rPr>
        <w:t>The incumbent will be employed by the Department of Local Government, Sport and Cultural Industries (DLGSC) but will work for the Commission for the duration of their employment. This position works closely with the General Manager Finance Office of the GWC (CFO) who have oversight of financial management at the Commission, the Department of Treasury communications, requests and actions.</w:t>
      </w:r>
    </w:p>
    <w:p w14:paraId="216E6C73" w14:textId="77777777" w:rsidR="001D63A8" w:rsidRPr="001D63A8" w:rsidRDefault="001D63A8" w:rsidP="001D63A8">
      <w:pPr>
        <w:spacing w:after="60"/>
        <w:ind w:left="284"/>
        <w:rPr>
          <w:rFonts w:ascii="Aptos" w:hAnsi="Aptos"/>
        </w:rPr>
      </w:pPr>
    </w:p>
    <w:p w14:paraId="323D2D10" w14:textId="66288C67" w:rsidR="001C0F3F" w:rsidRPr="001C0F3F" w:rsidRDefault="001D63A8" w:rsidP="001C0F3F">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559ACEF8" w14:textId="77777777" w:rsidR="0072344C" w:rsidRPr="000C2D3D" w:rsidRDefault="0072344C" w:rsidP="0072344C">
      <w:pPr>
        <w:pStyle w:val="ListParagraph"/>
        <w:numPr>
          <w:ilvl w:val="0"/>
          <w:numId w:val="37"/>
        </w:numPr>
        <w:spacing w:before="60" w:after="60" w:line="276" w:lineRule="auto"/>
        <w:contextualSpacing w:val="0"/>
      </w:pPr>
      <w:r w:rsidRPr="000C2D3D">
        <w:t>Participates as a member of the senior executive finance team to deliver high quality professional financial management advice and service.</w:t>
      </w:r>
    </w:p>
    <w:p w14:paraId="2F02E3AD" w14:textId="77777777" w:rsidR="0072344C" w:rsidRPr="0072344C" w:rsidRDefault="0072344C" w:rsidP="0072344C">
      <w:pPr>
        <w:pStyle w:val="ListParagraph"/>
        <w:numPr>
          <w:ilvl w:val="0"/>
          <w:numId w:val="37"/>
        </w:numPr>
        <w:spacing w:before="60" w:after="60" w:line="276" w:lineRule="auto"/>
        <w:contextualSpacing w:val="0"/>
      </w:pPr>
      <w:r w:rsidRPr="0072344C">
        <w:t>Provision of high-level financial management support and advice.</w:t>
      </w:r>
    </w:p>
    <w:p w14:paraId="1CE526B0" w14:textId="77777777" w:rsidR="0072344C" w:rsidRPr="0072344C" w:rsidRDefault="0072344C" w:rsidP="0072344C">
      <w:pPr>
        <w:pStyle w:val="ListParagraph"/>
        <w:numPr>
          <w:ilvl w:val="0"/>
          <w:numId w:val="37"/>
        </w:numPr>
        <w:spacing w:before="60" w:after="60" w:line="276" w:lineRule="auto"/>
        <w:contextualSpacing w:val="0"/>
      </w:pPr>
      <w:r w:rsidRPr="0072344C">
        <w:t>Coordination of department and portfolio agency/s internal budget process.</w:t>
      </w:r>
    </w:p>
    <w:p w14:paraId="1E09E251" w14:textId="77777777" w:rsidR="0072344C" w:rsidRPr="0072344C" w:rsidRDefault="0072344C" w:rsidP="0072344C">
      <w:pPr>
        <w:pStyle w:val="ListParagraph"/>
        <w:numPr>
          <w:ilvl w:val="0"/>
          <w:numId w:val="37"/>
        </w:numPr>
        <w:spacing w:before="60" w:after="60" w:line="276" w:lineRule="auto"/>
        <w:contextualSpacing w:val="0"/>
      </w:pPr>
      <w:r w:rsidRPr="0072344C">
        <w:t>Review and approve SIMS submissions.</w:t>
      </w:r>
    </w:p>
    <w:p w14:paraId="7C3BEFA0" w14:textId="77777777" w:rsidR="0072344C" w:rsidRPr="0072344C" w:rsidRDefault="0072344C" w:rsidP="0072344C">
      <w:pPr>
        <w:pStyle w:val="ListParagraph"/>
        <w:numPr>
          <w:ilvl w:val="0"/>
          <w:numId w:val="37"/>
        </w:numPr>
        <w:spacing w:before="60" w:after="60" w:line="276" w:lineRule="auto"/>
        <w:contextualSpacing w:val="0"/>
      </w:pPr>
      <w:r w:rsidRPr="0072344C">
        <w:t>Coordinates the budget cycle through reviewing the Commission’s budget and Expenditure Review Committee submissions.</w:t>
      </w:r>
    </w:p>
    <w:p w14:paraId="2264C1CA" w14:textId="77777777" w:rsidR="0072344C" w:rsidRPr="0072344C" w:rsidRDefault="0072344C" w:rsidP="0072344C">
      <w:pPr>
        <w:pStyle w:val="ListParagraph"/>
        <w:numPr>
          <w:ilvl w:val="0"/>
          <w:numId w:val="37"/>
        </w:numPr>
        <w:spacing w:before="60" w:after="60" w:line="276" w:lineRule="auto"/>
        <w:contextualSpacing w:val="0"/>
      </w:pPr>
      <w:r w:rsidRPr="0072344C">
        <w:t>Coordinates and reviews Whole of Government reporting for the Commission including Mid-Year review and development of annual Budget Papers.</w:t>
      </w:r>
    </w:p>
    <w:p w14:paraId="0E6B352F" w14:textId="77777777" w:rsidR="0072344C" w:rsidRPr="0072344C" w:rsidRDefault="0072344C" w:rsidP="0072344C">
      <w:pPr>
        <w:pStyle w:val="ListParagraph"/>
        <w:numPr>
          <w:ilvl w:val="0"/>
          <w:numId w:val="37"/>
        </w:numPr>
        <w:spacing w:before="60" w:after="60" w:line="276" w:lineRule="auto"/>
        <w:contextualSpacing w:val="0"/>
      </w:pPr>
      <w:bookmarkStart w:id="1" w:name="_Hlk31960597"/>
      <w:r w:rsidRPr="0072344C">
        <w:t xml:space="preserve">Analyse financial information including expenditure trends </w:t>
      </w:r>
      <w:bookmarkEnd w:id="1"/>
      <w:r w:rsidRPr="0072344C">
        <w:t xml:space="preserve">and identify opportunities for improvements and efficiencies. </w:t>
      </w:r>
    </w:p>
    <w:p w14:paraId="41E3F489" w14:textId="77777777" w:rsidR="0072344C" w:rsidRPr="0072344C" w:rsidRDefault="0072344C" w:rsidP="0072344C">
      <w:pPr>
        <w:pStyle w:val="ListParagraph"/>
        <w:numPr>
          <w:ilvl w:val="0"/>
          <w:numId w:val="37"/>
        </w:numPr>
        <w:spacing w:before="60" w:after="60" w:line="276" w:lineRule="auto"/>
        <w:contextualSpacing w:val="0"/>
      </w:pPr>
      <w:r w:rsidRPr="0072344C">
        <w:t>Review high quality and timely finance reports for the Executive, Finance Committee and Boards.</w:t>
      </w:r>
    </w:p>
    <w:p w14:paraId="612908E7" w14:textId="77777777" w:rsidR="0072344C" w:rsidRPr="0072344C" w:rsidRDefault="0072344C" w:rsidP="0072344C">
      <w:pPr>
        <w:pStyle w:val="ListParagraph"/>
        <w:numPr>
          <w:ilvl w:val="0"/>
          <w:numId w:val="37"/>
        </w:numPr>
        <w:spacing w:before="60" w:after="60" w:line="276" w:lineRule="auto"/>
        <w:contextualSpacing w:val="0"/>
      </w:pPr>
      <w:r w:rsidRPr="0072344C">
        <w:t>Assists with the preparation of annual financial statements and attends to audit queries as required.</w:t>
      </w:r>
    </w:p>
    <w:p w14:paraId="7E477DA6" w14:textId="77777777" w:rsidR="0072344C" w:rsidRPr="0072344C" w:rsidRDefault="0072344C" w:rsidP="0072344C">
      <w:pPr>
        <w:pStyle w:val="ListParagraph"/>
        <w:numPr>
          <w:ilvl w:val="0"/>
          <w:numId w:val="37"/>
        </w:numPr>
        <w:spacing w:before="60" w:after="60" w:line="276" w:lineRule="auto"/>
        <w:contextualSpacing w:val="0"/>
      </w:pPr>
      <w:r w:rsidRPr="0072344C">
        <w:t>Review and approve journals within their delegation.</w:t>
      </w:r>
    </w:p>
    <w:p w14:paraId="17AC538D" w14:textId="77777777" w:rsidR="0072344C" w:rsidRPr="0072344C" w:rsidRDefault="0072344C" w:rsidP="0072344C">
      <w:pPr>
        <w:pStyle w:val="ListParagraph"/>
        <w:numPr>
          <w:ilvl w:val="0"/>
          <w:numId w:val="37"/>
        </w:numPr>
        <w:spacing w:before="60" w:after="60" w:line="276" w:lineRule="auto"/>
        <w:contextualSpacing w:val="0"/>
      </w:pPr>
      <w:r w:rsidRPr="0072344C">
        <w:t>Review and approve BAS.</w:t>
      </w:r>
    </w:p>
    <w:p w14:paraId="490E00A5" w14:textId="77777777" w:rsidR="0072344C" w:rsidRPr="0072344C" w:rsidRDefault="0072344C" w:rsidP="0072344C">
      <w:pPr>
        <w:pStyle w:val="ListParagraph"/>
        <w:numPr>
          <w:ilvl w:val="0"/>
          <w:numId w:val="37"/>
        </w:numPr>
        <w:spacing w:before="60" w:after="60" w:line="276" w:lineRule="auto"/>
        <w:contextualSpacing w:val="0"/>
      </w:pPr>
      <w:r w:rsidRPr="0072344C">
        <w:t>Review and approve reconciliations and other accounting workpapers.</w:t>
      </w:r>
    </w:p>
    <w:p w14:paraId="393B8B2A" w14:textId="77777777" w:rsidR="0072344C" w:rsidRPr="0072344C" w:rsidRDefault="0072344C" w:rsidP="0072344C">
      <w:pPr>
        <w:pStyle w:val="ListParagraph"/>
        <w:numPr>
          <w:ilvl w:val="0"/>
          <w:numId w:val="37"/>
        </w:numPr>
        <w:spacing w:before="60" w:after="60" w:line="276" w:lineRule="auto"/>
        <w:contextualSpacing w:val="0"/>
      </w:pPr>
      <w:bookmarkStart w:id="2" w:name="_Hlk30431161"/>
      <w:r w:rsidRPr="0072344C">
        <w:t>Ensure compliance with the Financial Management Act, Treasurer’s Instructions and Accounting Standards</w:t>
      </w:r>
      <w:bookmarkEnd w:id="2"/>
      <w:r w:rsidRPr="0072344C">
        <w:t xml:space="preserve"> and other financial legislative requirements.</w:t>
      </w:r>
    </w:p>
    <w:p w14:paraId="3C56A033" w14:textId="77777777" w:rsidR="0072344C" w:rsidRPr="000C2D3D" w:rsidRDefault="0072344C" w:rsidP="0072344C">
      <w:pPr>
        <w:pStyle w:val="ListParagraph"/>
        <w:numPr>
          <w:ilvl w:val="0"/>
          <w:numId w:val="37"/>
        </w:numPr>
        <w:spacing w:before="60" w:after="60" w:line="276" w:lineRule="auto"/>
        <w:contextualSpacing w:val="0"/>
      </w:pPr>
      <w:bookmarkStart w:id="3" w:name="_Hlk31960609"/>
      <w:r w:rsidRPr="000C2D3D">
        <w:t>Contributes to internal policies and procedures in line with accounting standards and</w:t>
      </w:r>
      <w:r w:rsidRPr="000C2D3D">
        <w:rPr>
          <w:rFonts w:eastAsia="Times New Roman" w:cs="Times New Roman"/>
          <w:bCs w:val="0"/>
        </w:rPr>
        <w:t xml:space="preserve"> </w:t>
      </w:r>
      <w:r w:rsidRPr="000C2D3D">
        <w:t>Financial Management Act requirements.</w:t>
      </w:r>
    </w:p>
    <w:bookmarkEnd w:id="3"/>
    <w:p w14:paraId="624CAB7A" w14:textId="77777777" w:rsidR="0072344C" w:rsidRPr="000C2D3D" w:rsidRDefault="0072344C" w:rsidP="0072344C">
      <w:pPr>
        <w:pStyle w:val="ListParagraph"/>
        <w:numPr>
          <w:ilvl w:val="0"/>
          <w:numId w:val="37"/>
        </w:numPr>
        <w:spacing w:before="60" w:after="60" w:line="276" w:lineRule="auto"/>
        <w:contextualSpacing w:val="0"/>
      </w:pPr>
      <w:r w:rsidRPr="000C2D3D">
        <w:t>Contributes to the development of team capabilities and the overall management of the finance team and ongoing skills development.</w:t>
      </w:r>
    </w:p>
    <w:p w14:paraId="325B5730" w14:textId="77777777" w:rsidR="0072344C" w:rsidRPr="000C2D3D" w:rsidRDefault="0072344C" w:rsidP="0072344C">
      <w:pPr>
        <w:pStyle w:val="ListParagraph"/>
        <w:numPr>
          <w:ilvl w:val="0"/>
          <w:numId w:val="37"/>
        </w:numPr>
        <w:spacing w:before="60" w:after="60" w:line="276" w:lineRule="auto"/>
        <w:contextualSpacing w:val="0"/>
      </w:pPr>
      <w:r w:rsidRPr="000C2D3D">
        <w:t>Promote a work environment and culture that empowers, motivates staff and promotes development of job relevant skills and potential.</w:t>
      </w:r>
    </w:p>
    <w:p w14:paraId="752CAD8B" w14:textId="77777777" w:rsidR="0072344C" w:rsidRPr="000C2D3D" w:rsidRDefault="0072344C" w:rsidP="0072344C">
      <w:pPr>
        <w:pStyle w:val="ListParagraph"/>
        <w:numPr>
          <w:ilvl w:val="0"/>
          <w:numId w:val="37"/>
        </w:numPr>
        <w:spacing w:before="60" w:after="60" w:line="276" w:lineRule="auto"/>
        <w:contextualSpacing w:val="0"/>
      </w:pPr>
      <w:r w:rsidRPr="000C2D3D">
        <w:t>Provide input to activities involving the evaluation of team performance, including identifying critical success factors and facilitating continuous improvement activities.</w:t>
      </w:r>
    </w:p>
    <w:p w14:paraId="4E0A96EB" w14:textId="77777777" w:rsidR="0072344C" w:rsidRPr="000C2D3D" w:rsidRDefault="0072344C" w:rsidP="0072344C">
      <w:pPr>
        <w:pStyle w:val="ListParagraph"/>
        <w:numPr>
          <w:ilvl w:val="0"/>
          <w:numId w:val="37"/>
        </w:numPr>
        <w:spacing w:before="60" w:after="60" w:line="276" w:lineRule="auto"/>
        <w:contextualSpacing w:val="0"/>
      </w:pPr>
      <w:r w:rsidRPr="000C2D3D">
        <w:lastRenderedPageBreak/>
        <w:t>Contribute to the enhancement and continuous improvement of financial management services provided by the team.</w:t>
      </w:r>
    </w:p>
    <w:p w14:paraId="074CA518" w14:textId="77777777" w:rsidR="0072344C" w:rsidRPr="0072344C" w:rsidRDefault="0072344C" w:rsidP="0072344C">
      <w:pPr>
        <w:pStyle w:val="ListParagraph"/>
        <w:numPr>
          <w:ilvl w:val="0"/>
          <w:numId w:val="37"/>
        </w:numPr>
        <w:spacing w:before="60" w:after="60" w:line="276" w:lineRule="auto"/>
        <w:contextualSpacing w:val="0"/>
      </w:pPr>
      <w:r w:rsidRPr="0072344C">
        <w:t>Build and maintains effective working relationships with external and internal stakeholders.</w:t>
      </w:r>
    </w:p>
    <w:p w14:paraId="228D01D2" w14:textId="77777777" w:rsidR="001C0F3F" w:rsidRPr="001C0F3F" w:rsidRDefault="001D63A8" w:rsidP="001C0F3F">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01F00E79" w14:textId="5D7E4503" w:rsidR="001D63A8" w:rsidRPr="001C0F3F" w:rsidRDefault="001D63A8" w:rsidP="001C0F3F">
      <w:pPr>
        <w:pStyle w:val="ListParagraph"/>
        <w:numPr>
          <w:ilvl w:val="0"/>
          <w:numId w:val="37"/>
        </w:numPr>
        <w:rPr>
          <w:rFonts w:ascii="Aptos" w:hAnsi="Aptos"/>
          <w:color w:val="auto"/>
        </w:rPr>
      </w:pPr>
      <w:r w:rsidRPr="001C0F3F">
        <w:rPr>
          <w:rFonts w:ascii="Aptos" w:hAnsi="Aptos"/>
          <w:color w:val="auto"/>
        </w:rPr>
        <w:t xml:space="preserve">Perform any other duties as assigned or necessary to support the objectives of DLGSC. </w:t>
      </w:r>
    </w:p>
    <w:p w14:paraId="7167F745"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3D56502F" w14:textId="03563D50" w:rsidR="00C84224" w:rsidRDefault="001D63A8" w:rsidP="00C84224">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r w:rsidR="00C84224">
        <w:rPr>
          <w:rFonts w:ascii="Aptos" w:hAnsi="Aptos"/>
        </w:rPr>
        <w:br/>
      </w:r>
      <w:r w:rsidR="008110B2">
        <w:rPr>
          <w:rFonts w:ascii="Aptos" w:hAnsi="Aptos"/>
        </w:rPr>
        <w:t xml:space="preserve"> </w:t>
      </w:r>
    </w:p>
    <w:p w14:paraId="495DC06D" w14:textId="77777777" w:rsidR="000820BC" w:rsidRDefault="000820BC" w:rsidP="000820BC">
      <w:pPr>
        <w:keepNext/>
        <w:tabs>
          <w:tab w:val="left" w:pos="709"/>
        </w:tabs>
        <w:spacing w:after="60"/>
        <w:ind w:left="709" w:hanging="425"/>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5B1092A5" w14:textId="276784C8" w:rsidR="000820BC" w:rsidRPr="000820BC" w:rsidRDefault="000820BC" w:rsidP="000820BC">
      <w:pPr>
        <w:pStyle w:val="ListParagraph"/>
        <w:keepNext/>
        <w:numPr>
          <w:ilvl w:val="0"/>
          <w:numId w:val="46"/>
        </w:numPr>
        <w:tabs>
          <w:tab w:val="left" w:pos="709"/>
        </w:tabs>
        <w:spacing w:after="60"/>
        <w:outlineLvl w:val="2"/>
        <w:rPr>
          <w:rFonts w:ascii="Aptos SemiBold" w:eastAsia="Times New Roman" w:hAnsi="Aptos SemiBold" w:cs="Arial"/>
          <w:color w:val="auto"/>
          <w:sz w:val="26"/>
          <w:szCs w:val="28"/>
        </w:rPr>
      </w:pPr>
      <w:r w:rsidRPr="000820BC">
        <w:rPr>
          <w:rFonts w:ascii="Aptos" w:hAnsi="Aptos"/>
          <w:color w:val="auto"/>
        </w:rPr>
        <w:t>Role Specific Requirements</w:t>
      </w:r>
    </w:p>
    <w:p w14:paraId="25D6AB1F" w14:textId="77777777" w:rsidR="000820BC" w:rsidRPr="000820BC" w:rsidRDefault="000820BC" w:rsidP="000820BC">
      <w:pPr>
        <w:pStyle w:val="Default"/>
        <w:numPr>
          <w:ilvl w:val="0"/>
          <w:numId w:val="47"/>
        </w:numPr>
        <w:rPr>
          <w:rFonts w:ascii="Aptos" w:eastAsiaTheme="minorHAnsi" w:hAnsi="Aptos"/>
        </w:rPr>
      </w:pPr>
      <w:r w:rsidRPr="000820BC">
        <w:rPr>
          <w:rFonts w:ascii="Aptos" w:eastAsiaTheme="minorHAnsi" w:hAnsi="Aptos"/>
        </w:rPr>
        <w:t xml:space="preserve">Relevant tertiary qualification and full membership of Australian recognised professional accounting body. </w:t>
      </w:r>
    </w:p>
    <w:p w14:paraId="376F7C4F" w14:textId="77777777" w:rsidR="000820BC" w:rsidRPr="000820BC" w:rsidRDefault="000820BC" w:rsidP="000820BC">
      <w:pPr>
        <w:pStyle w:val="Default"/>
        <w:numPr>
          <w:ilvl w:val="0"/>
          <w:numId w:val="47"/>
        </w:numPr>
        <w:rPr>
          <w:rFonts w:ascii="Aptos" w:eastAsiaTheme="minorHAnsi" w:hAnsi="Aptos"/>
        </w:rPr>
      </w:pPr>
      <w:r w:rsidRPr="000820BC">
        <w:rPr>
          <w:rFonts w:ascii="Aptos" w:eastAsiaTheme="minorHAnsi" w:hAnsi="Aptos"/>
        </w:rPr>
        <w:t xml:space="preserve">Significant recent experience in providing strategic financial management services in large or medium sized organisations.  </w:t>
      </w:r>
    </w:p>
    <w:p w14:paraId="4B00B771" w14:textId="77777777" w:rsidR="000820BC" w:rsidRPr="000820BC" w:rsidRDefault="000820BC" w:rsidP="000820BC">
      <w:pPr>
        <w:pStyle w:val="Default"/>
        <w:numPr>
          <w:ilvl w:val="0"/>
          <w:numId w:val="47"/>
        </w:numPr>
        <w:rPr>
          <w:rFonts w:ascii="Aptos" w:eastAsiaTheme="minorHAnsi" w:hAnsi="Aptos"/>
        </w:rPr>
      </w:pPr>
      <w:r w:rsidRPr="000820BC">
        <w:rPr>
          <w:rFonts w:ascii="Aptos" w:eastAsiaTheme="minorHAnsi" w:hAnsi="Aptos"/>
        </w:rPr>
        <w:t>Experience in the application of relevant legislation, Accounting Standards and financial management processes, including contemporary knowledge and experience with financial management information systems.</w:t>
      </w:r>
    </w:p>
    <w:p w14:paraId="758A5499" w14:textId="77777777" w:rsidR="000820BC" w:rsidRPr="000820BC" w:rsidRDefault="000820BC" w:rsidP="000820BC">
      <w:pPr>
        <w:pStyle w:val="Default"/>
        <w:numPr>
          <w:ilvl w:val="0"/>
          <w:numId w:val="47"/>
        </w:numPr>
        <w:rPr>
          <w:rFonts w:ascii="Aptos" w:eastAsiaTheme="minorHAnsi" w:hAnsi="Aptos"/>
        </w:rPr>
      </w:pPr>
      <w:r w:rsidRPr="000820BC">
        <w:rPr>
          <w:rFonts w:ascii="Aptos" w:eastAsiaTheme="minorHAnsi" w:hAnsi="Aptos"/>
        </w:rPr>
        <w:t xml:space="preserve">Experience in the preparation of internal budgets and financial management reports with knowledge of the Government budget framework including strong skills in data analysis, and a high level of conceptual and analytical ability to solve complex problems. </w:t>
      </w:r>
    </w:p>
    <w:p w14:paraId="56DC56A9" w14:textId="77777777" w:rsidR="000820BC" w:rsidRDefault="000820BC" w:rsidP="000820BC">
      <w:pPr>
        <w:pStyle w:val="Default"/>
        <w:numPr>
          <w:ilvl w:val="0"/>
          <w:numId w:val="47"/>
        </w:numPr>
        <w:rPr>
          <w:rFonts w:ascii="Aptos" w:eastAsiaTheme="minorHAnsi" w:hAnsi="Aptos"/>
        </w:rPr>
      </w:pPr>
      <w:r w:rsidRPr="000820BC">
        <w:rPr>
          <w:rFonts w:ascii="Aptos" w:eastAsiaTheme="minorHAnsi" w:hAnsi="Aptos"/>
        </w:rPr>
        <w:t xml:space="preserve">Experience in the preparation of annual Financial Statements in compliance with the relevant Australian Accounting Standards Board (AASB), Treasurers Instructions (TI) and other relevant accounting legislation. </w:t>
      </w:r>
    </w:p>
    <w:p w14:paraId="42CBF621" w14:textId="51D0F8C1" w:rsidR="008110B2" w:rsidRPr="000820BC" w:rsidRDefault="008110B2" w:rsidP="000820BC">
      <w:pPr>
        <w:pStyle w:val="Default"/>
        <w:numPr>
          <w:ilvl w:val="0"/>
          <w:numId w:val="46"/>
        </w:numPr>
        <w:rPr>
          <w:rFonts w:ascii="Aptos" w:eastAsiaTheme="minorHAnsi" w:hAnsi="Aptos"/>
        </w:rPr>
      </w:pPr>
      <w:r w:rsidRPr="000820BC">
        <w:rPr>
          <w:rFonts w:eastAsiaTheme="minorHAnsi"/>
        </w:rPr>
        <w:t xml:space="preserve">Shapes and Manages Strategy </w:t>
      </w:r>
    </w:p>
    <w:p w14:paraId="25AE2662" w14:textId="77777777" w:rsidR="008110B2" w:rsidRPr="00E3768B" w:rsidRDefault="008110B2" w:rsidP="000820BC">
      <w:pPr>
        <w:pStyle w:val="Default"/>
        <w:numPr>
          <w:ilvl w:val="0"/>
          <w:numId w:val="48"/>
        </w:numPr>
        <w:rPr>
          <w:rFonts w:eastAsiaTheme="minorHAnsi"/>
        </w:rPr>
      </w:pPr>
      <w:r w:rsidRPr="00E3768B">
        <w:rPr>
          <w:rFonts w:eastAsiaTheme="minorHAnsi"/>
        </w:rPr>
        <w:t>Conceptual, problem solving, judgement, common sense and analytical skills with an ability to use initiative and strategic thinking to manage a range of complex and confidential matters.</w:t>
      </w:r>
    </w:p>
    <w:p w14:paraId="250341A3" w14:textId="33A4A399" w:rsidR="008110B2" w:rsidRPr="00E3768B" w:rsidRDefault="008110B2" w:rsidP="000820BC">
      <w:pPr>
        <w:pStyle w:val="Default"/>
        <w:numPr>
          <w:ilvl w:val="0"/>
          <w:numId w:val="46"/>
        </w:numPr>
        <w:rPr>
          <w:rFonts w:eastAsiaTheme="minorHAnsi"/>
        </w:rPr>
      </w:pPr>
      <w:r w:rsidRPr="00E3768B">
        <w:rPr>
          <w:rFonts w:eastAsiaTheme="minorHAnsi"/>
        </w:rPr>
        <w:t>Builds Productive Relationship</w:t>
      </w:r>
    </w:p>
    <w:p w14:paraId="08F9E15C" w14:textId="77777777" w:rsidR="008110B2" w:rsidRPr="00E3768B" w:rsidRDefault="008110B2" w:rsidP="000820BC">
      <w:pPr>
        <w:pStyle w:val="Default"/>
        <w:numPr>
          <w:ilvl w:val="0"/>
          <w:numId w:val="48"/>
        </w:numPr>
        <w:rPr>
          <w:rFonts w:eastAsiaTheme="minorHAnsi"/>
        </w:rPr>
      </w:pPr>
      <w:r w:rsidRPr="00E3768B">
        <w:rPr>
          <w:rFonts w:eastAsiaTheme="minorHAnsi"/>
        </w:rPr>
        <w:t>Nurtures internal and external relationships</w:t>
      </w:r>
    </w:p>
    <w:p w14:paraId="75474369" w14:textId="77777777" w:rsidR="008110B2" w:rsidRPr="00E3768B" w:rsidRDefault="008110B2" w:rsidP="000820BC">
      <w:pPr>
        <w:pStyle w:val="Default"/>
        <w:numPr>
          <w:ilvl w:val="0"/>
          <w:numId w:val="48"/>
        </w:numPr>
        <w:rPr>
          <w:rFonts w:eastAsiaTheme="minorHAnsi"/>
        </w:rPr>
      </w:pPr>
      <w:r w:rsidRPr="00E3768B">
        <w:rPr>
          <w:rFonts w:eastAsiaTheme="minorHAnsi"/>
        </w:rPr>
        <w:t>Guides, coaches and develops people</w:t>
      </w:r>
    </w:p>
    <w:p w14:paraId="49F20DCD" w14:textId="2631A7B8" w:rsidR="008110B2" w:rsidRPr="00E3768B" w:rsidRDefault="008110B2" w:rsidP="000820BC">
      <w:pPr>
        <w:pStyle w:val="Default"/>
        <w:numPr>
          <w:ilvl w:val="0"/>
          <w:numId w:val="46"/>
        </w:numPr>
        <w:rPr>
          <w:rFonts w:eastAsiaTheme="minorHAnsi"/>
        </w:rPr>
      </w:pPr>
      <w:r w:rsidRPr="00E3768B">
        <w:rPr>
          <w:rFonts w:eastAsiaTheme="minorHAnsi"/>
        </w:rPr>
        <w:t>Exemplifies personal integrity and self-awareness</w:t>
      </w:r>
    </w:p>
    <w:p w14:paraId="660858A6" w14:textId="77777777" w:rsidR="008110B2" w:rsidRPr="00E3768B" w:rsidRDefault="008110B2" w:rsidP="000820BC">
      <w:pPr>
        <w:pStyle w:val="Default"/>
        <w:numPr>
          <w:ilvl w:val="0"/>
          <w:numId w:val="49"/>
        </w:numPr>
        <w:rPr>
          <w:rFonts w:eastAsiaTheme="minorHAnsi"/>
        </w:rPr>
      </w:pPr>
      <w:r w:rsidRPr="00E3768B">
        <w:rPr>
          <w:rFonts w:eastAsiaTheme="minorHAnsi"/>
        </w:rPr>
        <w:t>Exhibits a commitment to public service professionalism, probity and personal development and the ability to engage with appropriate risk, demonstrating resilience when faced with complex challenges.</w:t>
      </w:r>
    </w:p>
    <w:p w14:paraId="693DB6B6" w14:textId="3E41661E" w:rsidR="008110B2" w:rsidRPr="00E3768B" w:rsidRDefault="008110B2" w:rsidP="000820BC">
      <w:pPr>
        <w:pStyle w:val="Default"/>
        <w:numPr>
          <w:ilvl w:val="0"/>
          <w:numId w:val="46"/>
        </w:numPr>
        <w:rPr>
          <w:rFonts w:eastAsiaTheme="minorHAnsi"/>
        </w:rPr>
      </w:pPr>
      <w:r w:rsidRPr="00E3768B">
        <w:rPr>
          <w:rFonts w:eastAsiaTheme="minorHAnsi"/>
        </w:rPr>
        <w:lastRenderedPageBreak/>
        <w:t xml:space="preserve">Communicates and Influences Effectively  </w:t>
      </w:r>
    </w:p>
    <w:p w14:paraId="7F975F39" w14:textId="77777777" w:rsidR="008110B2" w:rsidRPr="00E3768B" w:rsidRDefault="008110B2" w:rsidP="000820BC">
      <w:pPr>
        <w:pStyle w:val="Default"/>
        <w:numPr>
          <w:ilvl w:val="0"/>
          <w:numId w:val="49"/>
        </w:numPr>
        <w:rPr>
          <w:rFonts w:eastAsiaTheme="minorHAnsi"/>
        </w:rPr>
      </w:pPr>
      <w:r w:rsidRPr="00E3768B">
        <w:rPr>
          <w:rFonts w:eastAsiaTheme="minorHAnsi"/>
        </w:rPr>
        <w:t>Demonstrate high level communication and interpersonal skills within the organisation and other government agencies</w:t>
      </w:r>
    </w:p>
    <w:p w14:paraId="35A0C78F" w14:textId="77777777" w:rsidR="00E3768B" w:rsidRPr="00E3768B" w:rsidRDefault="00E3768B" w:rsidP="00E3768B">
      <w:pPr>
        <w:keepNext/>
        <w:tabs>
          <w:tab w:val="left" w:pos="709"/>
        </w:tabs>
        <w:spacing w:after="60"/>
        <w:ind w:left="709" w:hanging="425"/>
        <w:outlineLvl w:val="2"/>
        <w:rPr>
          <w:rFonts w:ascii="Aptos" w:eastAsiaTheme="minorHAnsi" w:hAnsi="Aptos" w:cstheme="minorBidi"/>
          <w:bCs/>
          <w:color w:val="auto"/>
        </w:rPr>
      </w:pPr>
    </w:p>
    <w:p w14:paraId="65312F99" w14:textId="483B6EC1" w:rsidR="001D63A8" w:rsidRPr="001D63A8" w:rsidRDefault="001D63A8" w:rsidP="00400927">
      <w:pPr>
        <w:keepNext/>
        <w:tabs>
          <w:tab w:val="left" w:pos="709"/>
        </w:tabs>
        <w:spacing w:after="60"/>
        <w:ind w:left="709" w:hanging="425"/>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06167F68" w14:textId="77777777" w:rsidR="003E186A" w:rsidRDefault="003E186A" w:rsidP="003E186A">
      <w:pPr>
        <w:pStyle w:val="ListParagraph"/>
        <w:numPr>
          <w:ilvl w:val="0"/>
          <w:numId w:val="42"/>
        </w:numPr>
      </w:pPr>
      <w:r w:rsidRPr="00C926DD">
        <w:t>Experience working in government in a regulatory agency and/or a statutory authority.</w:t>
      </w:r>
      <w:r>
        <w:br/>
      </w:r>
    </w:p>
    <w:p w14:paraId="2AFBF71F" w14:textId="022D88E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13C133CC" w14:textId="0D1BCC6D" w:rsidR="001D63A8" w:rsidRPr="001D63A8" w:rsidRDefault="006E5E39" w:rsidP="001D63A8">
      <w:pPr>
        <w:spacing w:after="60"/>
        <w:ind w:left="284"/>
        <w:rPr>
          <w:rFonts w:ascii="Aptos" w:hAnsi="Aptos"/>
        </w:rPr>
      </w:pPr>
      <w:r w:rsidRPr="006E5E39">
        <w:rPr>
          <w:rFonts w:ascii="Aptos" w:hAnsi="Aptos"/>
        </w:rPr>
        <w:t>Ability and willingness to undertake travel for business needs</w:t>
      </w:r>
    </w:p>
    <w:p w14:paraId="7BE1BEC8" w14:textId="77777777" w:rsidR="00400927" w:rsidRPr="001D63A8" w:rsidRDefault="00400927" w:rsidP="001D63A8">
      <w:pPr>
        <w:spacing w:after="60"/>
        <w:ind w:left="284"/>
        <w:rPr>
          <w:rFonts w:ascii="Aptos" w:hAnsi="Aptos"/>
        </w:rPr>
      </w:pP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4400F598" w14:textId="4A07139C" w:rsidR="001D63A8" w:rsidRPr="00C03376" w:rsidRDefault="001D63A8" w:rsidP="00400927">
      <w:pPr>
        <w:spacing w:after="60"/>
        <w:rPr>
          <w:rFonts w:ascii="Aptos" w:hAnsi="Aptos"/>
          <w:color w:val="655954" w:themeColor="accent6" w:themeShade="BF"/>
        </w:rPr>
      </w:pPr>
      <w:r w:rsidRPr="00C03376">
        <w:rPr>
          <w:rFonts w:ascii="Aptos" w:hAnsi="Aptos"/>
          <w:color w:val="655954" w:themeColor="accent6" w:themeShade="BF"/>
        </w:rPr>
        <w:br/>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5062E2AD" w:rsidR="001D63A8" w:rsidRPr="001D63A8" w:rsidRDefault="006E5E39" w:rsidP="001D63A8">
            <w:pPr>
              <w:spacing w:after="60"/>
              <w:ind w:left="284"/>
              <w:rPr>
                <w:rFonts w:ascii="Aptos" w:hAnsi="Aptos"/>
              </w:rPr>
            </w:pPr>
            <w:r>
              <w:rPr>
                <w:rFonts w:ascii="Aptos" w:hAnsi="Aptos"/>
              </w:rPr>
              <w:t>28</w:t>
            </w:r>
            <w:r w:rsidR="00400927">
              <w:rPr>
                <w:rFonts w:ascii="Aptos" w:hAnsi="Aptos"/>
              </w:rPr>
              <w:t xml:space="preserve"> January 2025</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C84224">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127" w:right="1134" w:bottom="1418"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2625" w14:textId="77777777" w:rsidR="008D356B" w:rsidRDefault="008D356B" w:rsidP="00F47BC0">
      <w:pPr>
        <w:spacing w:after="0" w:line="240" w:lineRule="auto"/>
      </w:pPr>
      <w:r>
        <w:separator/>
      </w:r>
    </w:p>
    <w:p w14:paraId="6683148F" w14:textId="77777777" w:rsidR="008D356B" w:rsidRDefault="008D356B"/>
  </w:endnote>
  <w:endnote w:type="continuationSeparator" w:id="0">
    <w:p w14:paraId="3DA6613C" w14:textId="77777777" w:rsidR="008D356B" w:rsidRDefault="008D356B" w:rsidP="00F47BC0">
      <w:pPr>
        <w:spacing w:after="0" w:line="240" w:lineRule="auto"/>
      </w:pPr>
      <w:r>
        <w:continuationSeparator/>
      </w:r>
    </w:p>
    <w:p w14:paraId="32ED08E0" w14:textId="77777777" w:rsidR="008D356B" w:rsidRDefault="008D356B"/>
  </w:endnote>
  <w:endnote w:type="continuationNotice" w:id="1">
    <w:p w14:paraId="4DA42705" w14:textId="77777777" w:rsidR="008D356B" w:rsidRDefault="008D35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0392"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DFCF" w14:textId="77777777" w:rsidR="008D356B" w:rsidRDefault="008D356B" w:rsidP="00F47BC0">
      <w:pPr>
        <w:spacing w:after="0" w:line="240" w:lineRule="auto"/>
      </w:pPr>
      <w:r>
        <w:separator/>
      </w:r>
    </w:p>
    <w:p w14:paraId="7D860FBE" w14:textId="77777777" w:rsidR="008D356B" w:rsidRDefault="008D356B"/>
  </w:footnote>
  <w:footnote w:type="continuationSeparator" w:id="0">
    <w:p w14:paraId="571599F9" w14:textId="77777777" w:rsidR="008D356B" w:rsidRDefault="008D356B" w:rsidP="00F47BC0">
      <w:pPr>
        <w:spacing w:after="0" w:line="240" w:lineRule="auto"/>
      </w:pPr>
      <w:r>
        <w:continuationSeparator/>
      </w:r>
    </w:p>
    <w:p w14:paraId="72C0DB3E" w14:textId="77777777" w:rsidR="008D356B" w:rsidRDefault="008D356B"/>
  </w:footnote>
  <w:footnote w:type="continuationNotice" w:id="1">
    <w:p w14:paraId="1EB224D7" w14:textId="77777777" w:rsidR="008D356B" w:rsidRDefault="008D35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0FB38970"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C84224">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1211482335" name="Picture 1211482335"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589342906" name="Picture 589342906"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82D1"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87321E2"/>
    <w:multiLevelType w:val="hybridMultilevel"/>
    <w:tmpl w:val="303E3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0DE7359"/>
    <w:multiLevelType w:val="hybridMultilevel"/>
    <w:tmpl w:val="BBA07EC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7682501"/>
    <w:multiLevelType w:val="hybridMultilevel"/>
    <w:tmpl w:val="E37A8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B73525"/>
    <w:multiLevelType w:val="hybridMultilevel"/>
    <w:tmpl w:val="220A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E3931E1"/>
    <w:multiLevelType w:val="hybridMultilevel"/>
    <w:tmpl w:val="CF5E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C117A0"/>
    <w:multiLevelType w:val="hybridMultilevel"/>
    <w:tmpl w:val="1070F9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5"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A202960"/>
    <w:multiLevelType w:val="hybridMultilevel"/>
    <w:tmpl w:val="FFC84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71866497"/>
    <w:multiLevelType w:val="hybridMultilevel"/>
    <w:tmpl w:val="8C4E35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5478AE"/>
    <w:multiLevelType w:val="hybridMultilevel"/>
    <w:tmpl w:val="B120BF0C"/>
    <w:lvl w:ilvl="0" w:tplc="E0DC109C">
      <w:start w:val="1"/>
      <w:numFmt w:val="decimal"/>
      <w:lvlText w:val="%1."/>
      <w:lvlJc w:val="left"/>
      <w:pPr>
        <w:ind w:left="720" w:hanging="360"/>
      </w:pPr>
      <w:rPr>
        <w:rFonts w:ascii="Aptos" w:hAnsi="Apto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8D1C7D"/>
    <w:multiLevelType w:val="hybridMultilevel"/>
    <w:tmpl w:val="303E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801EB4"/>
    <w:multiLevelType w:val="hybridMultilevel"/>
    <w:tmpl w:val="4928D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2740534">
    <w:abstractNumId w:val="2"/>
  </w:num>
  <w:num w:numId="2" w16cid:durableId="33577504">
    <w:abstractNumId w:val="31"/>
  </w:num>
  <w:num w:numId="3" w16cid:durableId="787816223">
    <w:abstractNumId w:val="16"/>
  </w:num>
  <w:num w:numId="4" w16cid:durableId="44961033">
    <w:abstractNumId w:val="32"/>
  </w:num>
  <w:num w:numId="5" w16cid:durableId="825127454">
    <w:abstractNumId w:val="22"/>
  </w:num>
  <w:num w:numId="6" w16cid:durableId="229124291">
    <w:abstractNumId w:val="45"/>
  </w:num>
  <w:num w:numId="7" w16cid:durableId="1779375282">
    <w:abstractNumId w:val="6"/>
  </w:num>
  <w:num w:numId="8" w16cid:durableId="1772241994">
    <w:abstractNumId w:val="20"/>
  </w:num>
  <w:num w:numId="9" w16cid:durableId="2101944083">
    <w:abstractNumId w:val="28"/>
  </w:num>
  <w:num w:numId="10" w16cid:durableId="556670969">
    <w:abstractNumId w:val="25"/>
  </w:num>
  <w:num w:numId="11" w16cid:durableId="94643428">
    <w:abstractNumId w:val="10"/>
  </w:num>
  <w:num w:numId="12" w16cid:durableId="1919050268">
    <w:abstractNumId w:val="9"/>
  </w:num>
  <w:num w:numId="13" w16cid:durableId="1473061939">
    <w:abstractNumId w:val="5"/>
  </w:num>
  <w:num w:numId="14" w16cid:durableId="827749676">
    <w:abstractNumId w:val="11"/>
  </w:num>
  <w:num w:numId="15" w16cid:durableId="1491752595">
    <w:abstractNumId w:val="24"/>
  </w:num>
  <w:num w:numId="16" w16cid:durableId="1967852361">
    <w:abstractNumId w:val="43"/>
  </w:num>
  <w:num w:numId="17" w16cid:durableId="1423450128">
    <w:abstractNumId w:val="15"/>
  </w:num>
  <w:num w:numId="18" w16cid:durableId="370417710">
    <w:abstractNumId w:val="1"/>
  </w:num>
  <w:num w:numId="19" w16cid:durableId="1502354351">
    <w:abstractNumId w:val="39"/>
  </w:num>
  <w:num w:numId="20" w16cid:durableId="1001468381">
    <w:abstractNumId w:val="3"/>
  </w:num>
  <w:num w:numId="21" w16cid:durableId="870416179">
    <w:abstractNumId w:val="7"/>
  </w:num>
  <w:num w:numId="22" w16cid:durableId="1997025342">
    <w:abstractNumId w:val="0"/>
  </w:num>
  <w:num w:numId="23" w16cid:durableId="2023580399">
    <w:abstractNumId w:val="14"/>
  </w:num>
  <w:num w:numId="24" w16cid:durableId="1194925034">
    <w:abstractNumId w:val="34"/>
  </w:num>
  <w:num w:numId="25" w16cid:durableId="1940329150">
    <w:abstractNumId w:val="13"/>
  </w:num>
  <w:num w:numId="26" w16cid:durableId="1090005236">
    <w:abstractNumId w:val="35"/>
  </w:num>
  <w:num w:numId="27" w16cid:durableId="1558512831">
    <w:abstractNumId w:val="17"/>
  </w:num>
  <w:num w:numId="28" w16cid:durableId="638851502">
    <w:abstractNumId w:val="40"/>
  </w:num>
  <w:num w:numId="29" w16cid:durableId="561335248">
    <w:abstractNumId w:val="37"/>
  </w:num>
  <w:num w:numId="30" w16cid:durableId="2105569166">
    <w:abstractNumId w:val="42"/>
  </w:num>
  <w:num w:numId="31" w16cid:durableId="1913195848">
    <w:abstractNumId w:val="36"/>
  </w:num>
  <w:num w:numId="32" w16cid:durableId="33966422">
    <w:abstractNumId w:val="21"/>
  </w:num>
  <w:num w:numId="33" w16cid:durableId="376899392">
    <w:abstractNumId w:val="12"/>
  </w:num>
  <w:num w:numId="34" w16cid:durableId="96608118">
    <w:abstractNumId w:val="23"/>
  </w:num>
  <w:num w:numId="35" w16cid:durableId="30232721">
    <w:abstractNumId w:val="4"/>
  </w:num>
  <w:num w:numId="36" w16cid:durableId="2033262516">
    <w:abstractNumId w:val="44"/>
  </w:num>
  <w:num w:numId="37" w16cid:durableId="1745058453">
    <w:abstractNumId w:val="18"/>
  </w:num>
  <w:num w:numId="38" w16cid:durableId="778447996">
    <w:abstractNumId w:val="26"/>
  </w:num>
  <w:num w:numId="39" w16cid:durableId="1756169252">
    <w:abstractNumId w:val="8"/>
  </w:num>
  <w:num w:numId="40" w16cid:durableId="1803303007">
    <w:abstractNumId w:val="33"/>
  </w:num>
  <w:num w:numId="41" w16cid:durableId="1943340520">
    <w:abstractNumId w:val="30"/>
  </w:num>
  <w:num w:numId="42" w16cid:durableId="356463450">
    <w:abstractNumId w:val="47"/>
  </w:num>
  <w:num w:numId="43" w16cid:durableId="965311028">
    <w:abstractNumId w:val="48"/>
  </w:num>
  <w:num w:numId="44" w16cid:durableId="2130540753">
    <w:abstractNumId w:val="19"/>
  </w:num>
  <w:num w:numId="45" w16cid:durableId="1055078960">
    <w:abstractNumId w:val="41"/>
  </w:num>
  <w:num w:numId="46" w16cid:durableId="1093666198">
    <w:abstractNumId w:val="46"/>
  </w:num>
  <w:num w:numId="47" w16cid:durableId="544365656">
    <w:abstractNumId w:val="38"/>
  </w:num>
  <w:num w:numId="48" w16cid:durableId="2028169341">
    <w:abstractNumId w:val="29"/>
  </w:num>
  <w:num w:numId="49" w16cid:durableId="152570780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0DD8"/>
    <w:rsid w:val="00081CC9"/>
    <w:rsid w:val="000820BC"/>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1BF9"/>
    <w:rsid w:val="001047CF"/>
    <w:rsid w:val="0010588E"/>
    <w:rsid w:val="00110F95"/>
    <w:rsid w:val="00112611"/>
    <w:rsid w:val="0011261B"/>
    <w:rsid w:val="001139F7"/>
    <w:rsid w:val="00113E19"/>
    <w:rsid w:val="0011514C"/>
    <w:rsid w:val="00115429"/>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0F3F"/>
    <w:rsid w:val="001C100F"/>
    <w:rsid w:val="001C30BC"/>
    <w:rsid w:val="001C415C"/>
    <w:rsid w:val="001C5F2E"/>
    <w:rsid w:val="001D49A2"/>
    <w:rsid w:val="001D63A8"/>
    <w:rsid w:val="001D67B4"/>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328"/>
    <w:rsid w:val="00237845"/>
    <w:rsid w:val="00237AA1"/>
    <w:rsid w:val="002405F5"/>
    <w:rsid w:val="00242AEE"/>
    <w:rsid w:val="00243B9C"/>
    <w:rsid w:val="00246877"/>
    <w:rsid w:val="00252E6A"/>
    <w:rsid w:val="002538C2"/>
    <w:rsid w:val="00254634"/>
    <w:rsid w:val="00256AE9"/>
    <w:rsid w:val="00256DCC"/>
    <w:rsid w:val="00260819"/>
    <w:rsid w:val="00261343"/>
    <w:rsid w:val="00267451"/>
    <w:rsid w:val="002709BF"/>
    <w:rsid w:val="002744E1"/>
    <w:rsid w:val="00276EB8"/>
    <w:rsid w:val="002778AE"/>
    <w:rsid w:val="00283461"/>
    <w:rsid w:val="0028515D"/>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4270"/>
    <w:rsid w:val="002C5A96"/>
    <w:rsid w:val="002C704C"/>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472F8"/>
    <w:rsid w:val="00350159"/>
    <w:rsid w:val="00352EF6"/>
    <w:rsid w:val="00356053"/>
    <w:rsid w:val="00356C07"/>
    <w:rsid w:val="00357FDF"/>
    <w:rsid w:val="00361E6F"/>
    <w:rsid w:val="00363ECA"/>
    <w:rsid w:val="00365B13"/>
    <w:rsid w:val="00371BBF"/>
    <w:rsid w:val="00373905"/>
    <w:rsid w:val="00374B3D"/>
    <w:rsid w:val="0038371E"/>
    <w:rsid w:val="003858FA"/>
    <w:rsid w:val="003862EC"/>
    <w:rsid w:val="0039307F"/>
    <w:rsid w:val="003931D2"/>
    <w:rsid w:val="003956F2"/>
    <w:rsid w:val="00395BC7"/>
    <w:rsid w:val="003A0AF1"/>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186A"/>
    <w:rsid w:val="003E797B"/>
    <w:rsid w:val="003F07BF"/>
    <w:rsid w:val="003F24AD"/>
    <w:rsid w:val="003F7F0C"/>
    <w:rsid w:val="00400927"/>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11B5"/>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05C7"/>
    <w:rsid w:val="005C675B"/>
    <w:rsid w:val="005C76ED"/>
    <w:rsid w:val="005D181B"/>
    <w:rsid w:val="005D1C66"/>
    <w:rsid w:val="005D47B8"/>
    <w:rsid w:val="005D6DFE"/>
    <w:rsid w:val="005D74C2"/>
    <w:rsid w:val="005E3F97"/>
    <w:rsid w:val="005E6F1F"/>
    <w:rsid w:val="005E79F0"/>
    <w:rsid w:val="005F1072"/>
    <w:rsid w:val="005F1F7D"/>
    <w:rsid w:val="005F50AF"/>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0EDB"/>
    <w:rsid w:val="00651BBB"/>
    <w:rsid w:val="006559E8"/>
    <w:rsid w:val="00656B00"/>
    <w:rsid w:val="00657981"/>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A4AB2"/>
    <w:rsid w:val="006B0553"/>
    <w:rsid w:val="006B1886"/>
    <w:rsid w:val="006B4FE9"/>
    <w:rsid w:val="006C0A5B"/>
    <w:rsid w:val="006C19E4"/>
    <w:rsid w:val="006C74FC"/>
    <w:rsid w:val="006D1B3E"/>
    <w:rsid w:val="006D4E00"/>
    <w:rsid w:val="006E259D"/>
    <w:rsid w:val="006E368A"/>
    <w:rsid w:val="006E4252"/>
    <w:rsid w:val="006E4DCF"/>
    <w:rsid w:val="006E558A"/>
    <w:rsid w:val="006E5E39"/>
    <w:rsid w:val="006F1ADF"/>
    <w:rsid w:val="006F446F"/>
    <w:rsid w:val="006F4BD4"/>
    <w:rsid w:val="006F52A1"/>
    <w:rsid w:val="0070387D"/>
    <w:rsid w:val="00706F44"/>
    <w:rsid w:val="00710253"/>
    <w:rsid w:val="007106C4"/>
    <w:rsid w:val="00710A34"/>
    <w:rsid w:val="00714A30"/>
    <w:rsid w:val="00720A6D"/>
    <w:rsid w:val="007223F7"/>
    <w:rsid w:val="0072344C"/>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10B2"/>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368A"/>
    <w:rsid w:val="00866464"/>
    <w:rsid w:val="0086682B"/>
    <w:rsid w:val="00877612"/>
    <w:rsid w:val="00877A78"/>
    <w:rsid w:val="00881BD9"/>
    <w:rsid w:val="00881C20"/>
    <w:rsid w:val="00885773"/>
    <w:rsid w:val="008866BB"/>
    <w:rsid w:val="00886C50"/>
    <w:rsid w:val="00891234"/>
    <w:rsid w:val="00891CA3"/>
    <w:rsid w:val="0089326D"/>
    <w:rsid w:val="00893E7D"/>
    <w:rsid w:val="0089405C"/>
    <w:rsid w:val="00894E75"/>
    <w:rsid w:val="00896171"/>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6AF0"/>
    <w:rsid w:val="008B7611"/>
    <w:rsid w:val="008C0CF7"/>
    <w:rsid w:val="008C1B5A"/>
    <w:rsid w:val="008C30C1"/>
    <w:rsid w:val="008C3544"/>
    <w:rsid w:val="008C6931"/>
    <w:rsid w:val="008C70C7"/>
    <w:rsid w:val="008D356B"/>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8F69F8"/>
    <w:rsid w:val="00900D8D"/>
    <w:rsid w:val="009042CE"/>
    <w:rsid w:val="009108BB"/>
    <w:rsid w:val="00911BB8"/>
    <w:rsid w:val="00913DD0"/>
    <w:rsid w:val="00915043"/>
    <w:rsid w:val="00925005"/>
    <w:rsid w:val="00925C5B"/>
    <w:rsid w:val="00932AFF"/>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06927"/>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0EAD"/>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2ADB"/>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422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E7C7C"/>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4EC8"/>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3768B"/>
    <w:rsid w:val="00E40798"/>
    <w:rsid w:val="00E4118C"/>
    <w:rsid w:val="00E43AC3"/>
    <w:rsid w:val="00E43E8E"/>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80DD8"/>
    <w:rsid w:val="00110F95"/>
    <w:rsid w:val="001266B2"/>
    <w:rsid w:val="0019683A"/>
    <w:rsid w:val="00237328"/>
    <w:rsid w:val="00255795"/>
    <w:rsid w:val="002863AA"/>
    <w:rsid w:val="00465B68"/>
    <w:rsid w:val="00552399"/>
    <w:rsid w:val="005F50AF"/>
    <w:rsid w:val="00647820"/>
    <w:rsid w:val="00660356"/>
    <w:rsid w:val="0071472F"/>
    <w:rsid w:val="00732188"/>
    <w:rsid w:val="007E1D6E"/>
    <w:rsid w:val="007E6E3C"/>
    <w:rsid w:val="0086619F"/>
    <w:rsid w:val="008B6AF0"/>
    <w:rsid w:val="008D43D1"/>
    <w:rsid w:val="008D44FB"/>
    <w:rsid w:val="00913316"/>
    <w:rsid w:val="00993398"/>
    <w:rsid w:val="009A168D"/>
    <w:rsid w:val="00A0125B"/>
    <w:rsid w:val="00A25DD1"/>
    <w:rsid w:val="00A95918"/>
    <w:rsid w:val="00BA2C4D"/>
    <w:rsid w:val="00BD2ADB"/>
    <w:rsid w:val="00BE0C61"/>
    <w:rsid w:val="00C20689"/>
    <w:rsid w:val="00C76617"/>
    <w:rsid w:val="00D0610B"/>
    <w:rsid w:val="00D36F37"/>
    <w:rsid w:val="00D43B20"/>
    <w:rsid w:val="00D4783F"/>
    <w:rsid w:val="00E55D3D"/>
    <w:rsid w:val="00EE0D92"/>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DF" ma:contentTypeID="0x0101001606204C495BEE409239BDF79B32EEF1008B910282700A9746928549065B0E2427" ma:contentTypeVersion="20" ma:contentTypeDescription="" ma:contentTypeScope="" ma:versionID="227ac46025275f8ed326c3c6ffeb172d">
  <xsd:schema xmlns:xsd="http://www.w3.org/2001/XMLSchema" xmlns:xs="http://www.w3.org/2001/XMLSchema" xmlns:p="http://schemas.microsoft.com/office/2006/metadata/properties" xmlns:ns2="6ba7053f-e0f4-4d6d-b99b-1a84f6080beb" xmlns:ns3="b74ef3c4-9665-425c-bf53-6f3aa9902a65" targetNamespace="http://schemas.microsoft.com/office/2006/metadata/properties" ma:root="true" ma:fieldsID="e3f12c185b4ca51e6c300fe6ff7939bd" ns2:_="" ns3:_="">
    <xsd:import namespace="6ba7053f-e0f4-4d6d-b99b-1a84f6080beb"/>
    <xsd:import namespace="b74ef3c4-9665-425c-bf53-6f3aa9902a65"/>
    <xsd:element name="properties">
      <xsd:complexType>
        <xsd:sequence>
          <xsd:element name="documentManagement">
            <xsd:complexType>
              <xsd:all>
                <xsd:element ref="ns2:Classification_x0020_Level" minOccurs="0"/>
                <xsd:element ref="ns2:JDFEndDate" minOccurs="0"/>
                <xsd:element ref="ns2:Status_x0020_JDF" minOccurs="0"/>
                <xsd:element ref="ns2:Generic_x0020_JDF" minOccurs="0"/>
                <xsd:element ref="ns2:Start_x0020_Date_x0020_JDF" minOccurs="0"/>
                <xsd:element ref="ns2:Position_x0020_Number_x0020_JDF" minOccurs="0"/>
                <xsd:element ref="ns2:Manager_x0020_Position_x0020_Number_x0020_JDF" minOccurs="0"/>
                <xsd:element ref="ns2:Location_x0020_JDF" minOccurs="0"/>
                <xsd:element ref="ns2:Division_x0020_JDF" minOccurs="0"/>
                <xsd:element ref="ns2:Branch_x0020_JDF" minOccurs="0"/>
                <xsd:element ref="ns2:Award_x0020_JDF" minOccurs="0"/>
                <xsd:element ref="ns2:Position_x0020_JDF" minOccurs="0"/>
                <xsd:element ref="ns2:Manager_x0020_Position_x0020_JDF"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53f-e0f4-4d6d-b99b-1a84f6080beb" elementFormDefault="qualified">
    <xsd:import namespace="http://schemas.microsoft.com/office/2006/documentManagement/types"/>
    <xsd:import namespace="http://schemas.microsoft.com/office/infopath/2007/PartnerControls"/>
    <xsd:element name="Classification_x0020_Level" ma:index="8" nillable="true" ma:displayName="Classification Level" ma:default="" ma:description="Classification Level for jdf" ma:format="Dropdown" ma:internalName="Classification_x0020_Level">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JDFEndDate" ma:index="9" nillable="true" ma:displayName="End Date JDF" ma:format="DateOnly" ma:internalName="JDFEndDate">
      <xsd:simpleType>
        <xsd:restriction base="dms:DateTime"/>
      </xsd:simpleType>
    </xsd:element>
    <xsd:element name="Status_x0020_JDF" ma:index="10" nillable="true" ma:displayName="Status JDF" ma:default="" ma:format="Dropdown" ma:internalName="Status_x0020_JDF">
      <xsd:simpleType>
        <xsd:restriction base="dms:Choice">
          <xsd:enumeration value="Active"/>
          <xsd:enumeration value="Inactive"/>
        </xsd:restriction>
      </xsd:simpleType>
    </xsd:element>
    <xsd:element name="Generic_x0020_JDF" ma:index="11" nillable="true" ma:displayName="Generic JDF" ma:default="0" ma:internalName="Generic_x0020_JDF">
      <xsd:simpleType>
        <xsd:restriction base="dms:Boolean"/>
      </xsd:simpleType>
    </xsd:element>
    <xsd:element name="Start_x0020_Date_x0020_JDF" ma:index="12" nillable="true" ma:displayName="Start Date JDF" ma:default="" ma:format="DateOnly" ma:internalName="Start_x0020_Date_x0020_JDF">
      <xsd:simpleType>
        <xsd:restriction base="dms:DateTime"/>
      </xsd:simpleType>
    </xsd:element>
    <xsd:element name="Position_x0020_Number_x0020_JDF" ma:index="13" nillable="true" ma:displayName="Position Number JDF" ma:default="" ma:internalName="Position_x0020_Number_x0020_JDF">
      <xsd:simpleType>
        <xsd:restriction base="dms:Text">
          <xsd:maxLength value="255"/>
        </xsd:restriction>
      </xsd:simpleType>
    </xsd:element>
    <xsd:element name="Manager_x0020_Position_x0020_Number_x0020_JDF" ma:index="14" nillable="true" ma:displayName="Manager Position Number JDF" ma:default="" ma:internalName="Manager_x0020_Position_x0020_Number_x0020_JDF">
      <xsd:simpleType>
        <xsd:restriction base="dms:Text">
          <xsd:maxLength value="255"/>
        </xsd:restriction>
      </xsd:simpleType>
    </xsd:element>
    <xsd:element name="Location_x0020_JDF" ma:index="15" nillable="true" ma:displayName="Locations" ma:format="Dropdown" ma:internalName="Location_x0020_JDF">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ivision_x0020_JDF" ma:index="16" nillable="true" ma:displayName="Division JDF" ma:format="Dropdown" ma:internalName="Division_x0020_JDF">
      <xsd:simpleType>
        <xsd:restriction base="dms:Choice">
          <xsd:enumeration value="Capability and Performance"/>
          <xsd:enumeration value="Corporate Communication"/>
          <xsd:enumeration value="Corporate Services"/>
          <xsd:enumeration value="Culture and the Arts"/>
          <xsd:enumeration value="Finance"/>
          <xsd:enumeration value="Infrastructure"/>
          <xsd:enumeration value="Integrity"/>
          <xsd:enumeration value="Legal Services"/>
          <xsd:enumeration value="Local Gov Sport and Cultural Industries"/>
          <xsd:enumeration value="Local Government"/>
          <xsd:enumeration value="Major and Capital Projects"/>
          <xsd:enumeration value="Management and Coordination"/>
          <xsd:enumeration value="Office of Multicultural Interests"/>
          <xsd:enumeration value="Office of the Director General"/>
          <xsd:enumeration value="Racing Gaming and Liquor Regulation"/>
          <xsd:enumeration value="Regulatory Reform"/>
          <xsd:enumeration value="Specialist Aboriginal Projects and Engagement"/>
          <xsd:enumeration value="Sport and Recreation"/>
          <xsd:enumeration value="State Records Office"/>
          <xsd:enumeration value="Strategy and Performance Accountability"/>
          <xsd:enumeration value="Various"/>
        </xsd:restriction>
      </xsd:simpleType>
    </xsd:element>
    <xsd:element name="Branch_x0020_JDF" ma:index="17" nillable="true" ma:displayName="Branch JDF" ma:format="Dropdown" ma:internalName="Branch_x0020_JDF">
      <xsd:simpleType>
        <xsd:restriction base="dms:Choice">
          <xsd:enumeration value="Aboriginal Culture Centre"/>
          <xsd:enumeration value="Aboriginal History Unit"/>
          <xsd:enumeration value="Asset Management"/>
          <xsd:enumeration value="Business Services"/>
          <xsd:enumeration value="Capability and Performance"/>
          <xsd:enumeration value="Casino Compliance"/>
          <xsd:enumeration value="Change Advisory"/>
          <xsd:enumeration value="Child Safeguarding Implementation Team"/>
          <xsd:enumeration value="Community Engagement and Strategy"/>
          <xsd:enumeration value="Community Relations"/>
          <xsd:enumeration value="Corporate Communication"/>
          <xsd:enumeration value="Corporate Services"/>
          <xsd:enumeration value="Culture and the Arts"/>
          <xsd:enumeration value="Digital and Technology Services"/>
          <xsd:enumeration value="External Budgeting"/>
          <xsd:enumeration value="Finance"/>
          <xsd:enumeration value="Financial Accounting"/>
          <xsd:enumeration value="Financial Policy and Statutory Approval"/>
          <xsd:enumeration value="Governance and Risk"/>
          <xsd:enumeration value="Grant and Delivery Programs"/>
          <xsd:enumeration value="GWC Compliance"/>
          <xsd:enumeration value="Human Resources"/>
          <xsd:enumeration value="Industry Partnerships and Development"/>
          <xsd:enumeration value="Infrastructure"/>
          <xsd:enumeration value="Infrastructure Planning and Investment"/>
          <xsd:enumeration value="Infrastructure Policy and Governance"/>
          <xsd:enumeration value="Integrity"/>
          <xsd:enumeration value="Investigations"/>
          <xsd:enumeration value="Investigations and Assessment"/>
          <xsd:enumeration value="Investment Research and Policy"/>
          <xsd:enumeration value="Legal Services"/>
          <xsd:enumeration value="Licensing and Industry Services"/>
          <xsd:enumeration value="Liquor Control and Arbitration"/>
          <xsd:enumeration value="Liquor Control and Compliance"/>
          <xsd:enumeration value="Local Gov Sport and Cultural Industries"/>
          <xsd:enumeration value="Local Government"/>
          <xsd:enumeration value="Local Government Support and Engagement"/>
          <xsd:enumeration value="Major and Capital Projects"/>
          <xsd:enumeration value="Management Accounting"/>
          <xsd:enumeration value="Management and Coordination"/>
          <xsd:enumeration value="Ministerial Services"/>
          <xsd:enumeration value="Office of Multicultural Interests"/>
          <xsd:enumeration value="Office of the Director General"/>
          <xsd:enumeration value="Payroll Services"/>
          <xsd:enumeration value="Performance Analysis and Reporting"/>
          <xsd:enumeration value="Planning and Delivery"/>
          <xsd:enumeration value="Policy and Legislation"/>
          <xsd:enumeration value="Procurement"/>
          <xsd:enumeration value="Project Delivery"/>
          <xsd:enumeration value="Racing Gaming and Liquor Regulation"/>
          <xsd:enumeration value="Racing, Gaming &amp; Liquor"/>
          <xsd:enumeration value="Recreation and Camps"/>
          <xsd:enumeration value="Regional Services"/>
          <xsd:enumeration value="Regulatory Reform"/>
          <xsd:enumeration value="Regulatory Reform LG"/>
          <xsd:enumeration value="Regulatory Support"/>
          <xsd:enumeration value="Specialist Aboriginal Projects and Engagement"/>
          <xsd:enumeration value="Sport and Recreation"/>
          <xsd:enumeration value="Sport Development and Engagement"/>
          <xsd:enumeration value="State Records Office"/>
          <xsd:enumeration value="Strategic Policy"/>
          <xsd:enumeration value="Strategic Regulation"/>
          <xsd:enumeration value="Strategy and Investment"/>
          <xsd:enumeration value="Strategy and Performance Accountability"/>
          <xsd:enumeration value="Strategy and Planning"/>
          <xsd:enumeration value="Strategy and Transformation"/>
          <xsd:enumeration value="Various"/>
        </xsd:restriction>
      </xsd:simpleType>
    </xsd:element>
    <xsd:element name="Award_x0020_JDF" ma:index="18" nillable="true" ma:displayName="Award JDF" ma:default="" ma:format="Dropdown" ma:internalName="Award_x0020_JDF">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Position_x0020_JDF" ma:index="19" nillable="true" ma:displayName="Position JDF" ma:default="" ma:internalName="Position_x0020_JDF" ma:percentage="FALSE">
      <xsd:simpleType>
        <xsd:restriction base="dms:Number"/>
      </xsd:simpleType>
    </xsd:element>
    <xsd:element name="Manager_x0020_Position_x0020_JDF" ma:index="20" nillable="true" ma:displayName="Manager Position JDF" ma:default="" ma:internalName="Manager_x0020_Position_x0020_J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4ef3c4-9665-425c-bf53-6f3aa9902a6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ager_x0020_Position_x0020_Number_x0020_JDF xmlns="6ba7053f-e0f4-4d6d-b99b-1a84f6080beb">15769</Manager_x0020_Position_x0020_Number_x0020_JDF>
    <Manager_x0020_Position_x0020_JDF xmlns="6ba7053f-e0f4-4d6d-b99b-1a84f6080beb">15769</Manager_x0020_Position_x0020_JDF>
    <Generic_x0020_JDF xmlns="6ba7053f-e0f4-4d6d-b99b-1a84f6080beb">false</Generic_x0020_JDF>
    <Award_x0020_JDF xmlns="6ba7053f-e0f4-4d6d-b99b-1a84f6080beb">Public Service General Agreement</Award_x0020_JDF>
    <Location_x0020_JDF xmlns="6ba7053f-e0f4-4d6d-b99b-1a84f6080beb">Leederville</Location_x0020_JDF>
    <Start_x0020_Date_x0020_JDF xmlns="6ba7053f-e0f4-4d6d-b99b-1a84f6080beb">2025-01-27T16:00:00+00:00</Start_x0020_Date_x0020_JDF>
    <Position_x0020_Number_x0020_JDF xmlns="6ba7053f-e0f4-4d6d-b99b-1a84f6080beb">16621</Position_x0020_Number_x0020_JDF>
    <Classification_x0020_Level xmlns="6ba7053f-e0f4-4d6d-b99b-1a84f6080beb">Level 7</Classification_x0020_Level>
    <Division_x0020_JDF xmlns="6ba7053f-e0f4-4d6d-b99b-1a84f6080beb">Racing Gaming and Liquor Regulation</Division_x0020_JDF>
    <JDFEndDate xmlns="6ba7053f-e0f4-4d6d-b99b-1a84f6080beb">2049-12-30T16:00:00+00:00</JDFEndDate>
    <Branch_x0020_JDF xmlns="6ba7053f-e0f4-4d6d-b99b-1a84f6080beb">GWC Compliance</Branch_x0020_JDF>
    <Status_x0020_JDF xmlns="6ba7053f-e0f4-4d6d-b99b-1a84f6080beb">Active</Status_x0020_JDF>
    <Position_x0020_JDF xmlns="6ba7053f-e0f4-4d6d-b99b-1a84f6080beb">16621</Position_x0020_J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37529-19A2-495C-90EC-5135D5045FE3}"/>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6228</Characters>
  <Application>Microsoft Office Word</Application>
  <DocSecurity>0</DocSecurity>
  <Lines>138</Lines>
  <Paragraphs>76</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Financial Accountant</dc:title>
  <dc:subject/>
  <dc:creator>Nikita Weston</dc:creator>
  <cp:keywords/>
  <cp:lastModifiedBy>Trudi Ford</cp:lastModifiedBy>
  <cp:revision>2</cp:revision>
  <cp:lastPrinted>2014-08-21T12:29:00Z</cp:lastPrinted>
  <dcterms:created xsi:type="dcterms:W3CDTF">2025-01-31T05:40:00Z</dcterms:created>
  <dcterms:modified xsi:type="dcterms:W3CDTF">2025-01-31T05:40:00Z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0x0101001606204C495BEE409239BDF79B32EEF1008B910282700A9746928549065B0E2427</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