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D5E7" w14:textId="2E4EEC3D" w:rsidR="00161D57" w:rsidRPr="00407476" w:rsidRDefault="00161D57" w:rsidP="00460F3D">
      <w:pPr>
        <w:pStyle w:val="Heading1"/>
      </w:pPr>
      <w:r w:rsidRPr="00407476">
        <w:t>Job Description Form</w:t>
      </w:r>
      <w:r w:rsidR="00CC6FD1" w:rsidRPr="00407476">
        <w:t xml:space="preserve"> –</w:t>
      </w:r>
      <w:r w:rsidR="00D030B0">
        <w:t xml:space="preserve"> Community Engagement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7B13E5A5" w14:textId="77777777" w:rsidTr="00766F97">
        <w:trPr>
          <w:trHeight w:val="237"/>
        </w:trPr>
        <w:tc>
          <w:tcPr>
            <w:tcW w:w="2122" w:type="dxa"/>
            <w:shd w:val="clear" w:color="auto" w:fill="C8E3F4"/>
          </w:tcPr>
          <w:p w14:paraId="699CDE26"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420352D6" w14:textId="2AD97002" w:rsidR="00216769" w:rsidRPr="00E32F00" w:rsidRDefault="00D030B0" w:rsidP="00766F97">
            <w:pPr>
              <w:pStyle w:val="TableText"/>
              <w:spacing w:before="0" w:after="0" w:line="240" w:lineRule="auto"/>
            </w:pPr>
            <w:r>
              <w:t>16371</w:t>
            </w:r>
          </w:p>
        </w:tc>
        <w:tc>
          <w:tcPr>
            <w:tcW w:w="1996" w:type="dxa"/>
            <w:shd w:val="clear" w:color="auto" w:fill="C8E3F4"/>
          </w:tcPr>
          <w:p w14:paraId="148DBF53"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1CF195FE" w14:textId="1D723BCF" w:rsidR="00216769" w:rsidRPr="00E32F00" w:rsidRDefault="00000000" w:rsidP="00766F97">
            <w:pPr>
              <w:pStyle w:val="TableText"/>
              <w:spacing w:before="0" w:after="0" w:line="240" w:lineRule="auto"/>
            </w:pPr>
            <w:sdt>
              <w:sdtPr>
                <w:alias w:val="Choose level"/>
                <w:tag w:val="Choose level"/>
                <w:id w:val="1273521509"/>
                <w:placeholder>
                  <w:docPart w:val="0194E7CC1E8649AA8F0541312F7E6A2A"/>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D030B0">
                  <w:t>Level 5</w:t>
                </w:r>
              </w:sdtContent>
            </w:sdt>
          </w:p>
        </w:tc>
      </w:tr>
      <w:tr w:rsidR="00216769" w:rsidRPr="00E32F00" w14:paraId="10A77E1E" w14:textId="77777777" w:rsidTr="00766F97">
        <w:trPr>
          <w:trHeight w:val="283"/>
        </w:trPr>
        <w:tc>
          <w:tcPr>
            <w:tcW w:w="2122" w:type="dxa"/>
            <w:shd w:val="clear" w:color="auto" w:fill="C8E3F4"/>
          </w:tcPr>
          <w:p w14:paraId="455DE9DF"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3EE1DE76" w14:textId="476CD51C" w:rsidR="00216769" w:rsidRPr="00E32F00" w:rsidRDefault="00694EC6" w:rsidP="00766F97">
            <w:pPr>
              <w:pStyle w:val="TableText"/>
              <w:spacing w:before="0" w:after="0" w:line="240" w:lineRule="auto"/>
            </w:pPr>
            <w:r w:rsidRPr="00694EC6">
              <w:t>Office of Multicultural Interests</w:t>
            </w:r>
          </w:p>
        </w:tc>
        <w:tc>
          <w:tcPr>
            <w:tcW w:w="1996" w:type="dxa"/>
            <w:shd w:val="clear" w:color="auto" w:fill="C8E3F4"/>
          </w:tcPr>
          <w:p w14:paraId="7A203585"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40B23BA8" w14:textId="36BE101B" w:rsidR="00216769" w:rsidRPr="00E32F00" w:rsidRDefault="00D030B0" w:rsidP="00766F97">
            <w:pPr>
              <w:pStyle w:val="TableText"/>
              <w:spacing w:before="0" w:after="0" w:line="240" w:lineRule="auto"/>
            </w:pPr>
            <w:r>
              <w:t xml:space="preserve">Community Engagement and Strategy </w:t>
            </w:r>
          </w:p>
        </w:tc>
      </w:tr>
      <w:tr w:rsidR="00216769" w:rsidRPr="00E32F00" w14:paraId="1B76982B" w14:textId="77777777" w:rsidTr="00766F97">
        <w:trPr>
          <w:trHeight w:val="301"/>
        </w:trPr>
        <w:tc>
          <w:tcPr>
            <w:tcW w:w="2122" w:type="dxa"/>
            <w:shd w:val="clear" w:color="auto" w:fill="C8E3F4"/>
          </w:tcPr>
          <w:p w14:paraId="049DEF76"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39F83BF0" w14:textId="069E5B53" w:rsidR="00216769" w:rsidRPr="00E32F00" w:rsidRDefault="00D030B0" w:rsidP="00766F97">
            <w:pPr>
              <w:pStyle w:val="TableText"/>
              <w:spacing w:before="0" w:after="0" w:line="240" w:lineRule="auto"/>
            </w:pPr>
            <w:r>
              <w:t xml:space="preserve">13802 - </w:t>
            </w:r>
            <w:r w:rsidR="0037330B">
              <w:t>Director Community Engagement and Strategy L8</w:t>
            </w:r>
          </w:p>
        </w:tc>
        <w:tc>
          <w:tcPr>
            <w:tcW w:w="1996" w:type="dxa"/>
            <w:shd w:val="clear" w:color="auto" w:fill="C8E3F4"/>
          </w:tcPr>
          <w:p w14:paraId="03203744"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05F4CD5A" w14:textId="3C11FFE1" w:rsidR="00216769" w:rsidRPr="00E32F00" w:rsidRDefault="00D030B0" w:rsidP="00766F97">
            <w:pPr>
              <w:pStyle w:val="TableText"/>
              <w:spacing w:before="0" w:after="0" w:line="240" w:lineRule="auto"/>
            </w:pPr>
            <w:r>
              <w:t>Nil</w:t>
            </w:r>
          </w:p>
        </w:tc>
      </w:tr>
    </w:tbl>
    <w:p w14:paraId="2FB86302" w14:textId="77777777" w:rsidR="00766F97" w:rsidRDefault="00766F97" w:rsidP="004F034E">
      <w:pPr>
        <w:pStyle w:val="Heading2"/>
      </w:pPr>
    </w:p>
    <w:p w14:paraId="4FBB1390" w14:textId="77777777" w:rsidR="002A5426" w:rsidRDefault="002A5426" w:rsidP="002A5426">
      <w:pPr>
        <w:pStyle w:val="Heading2"/>
      </w:pPr>
    </w:p>
    <w:p w14:paraId="56EA569D" w14:textId="77777777" w:rsidR="002A5426" w:rsidRDefault="002A5426" w:rsidP="002A5426">
      <w:pPr>
        <w:pStyle w:val="Heading2"/>
        <w:rPr>
          <w:color w:val="808080" w:themeColor="background2" w:themeShade="80"/>
        </w:rPr>
      </w:pPr>
      <w: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2A5426" w:rsidRPr="00CD7736" w14:paraId="012FF436" w14:textId="77777777" w:rsidTr="001E798A">
        <w:trPr>
          <w:trHeight w:val="228"/>
        </w:trPr>
        <w:tc>
          <w:tcPr>
            <w:tcW w:w="3747" w:type="dxa"/>
            <w:shd w:val="clear" w:color="auto" w:fill="auto"/>
            <w:vAlign w:val="center"/>
          </w:tcPr>
          <w:p w14:paraId="7709985A"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4626B44C"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55DFAE56" w14:textId="77777777" w:rsidR="002A5426" w:rsidRPr="002A5426" w:rsidRDefault="002A5426" w:rsidP="002A5426">
            <w:pPr>
              <w:pStyle w:val="Heading2"/>
              <w:pBdr>
                <w:bottom w:val="none" w:sz="0" w:space="0" w:color="auto"/>
              </w:pBdr>
            </w:pPr>
            <w:r w:rsidRPr="002A5426">
              <w:t>V</w:t>
            </w:r>
            <w:r>
              <w:t>alues</w:t>
            </w:r>
          </w:p>
        </w:tc>
      </w:tr>
      <w:tr w:rsidR="002A5426" w:rsidRPr="00CD7736" w14:paraId="348BB218" w14:textId="77777777" w:rsidTr="001E798A">
        <w:trPr>
          <w:trHeight w:val="1895"/>
        </w:trPr>
        <w:tc>
          <w:tcPr>
            <w:tcW w:w="3747" w:type="dxa"/>
            <w:shd w:val="clear" w:color="auto" w:fill="auto"/>
          </w:tcPr>
          <w:p w14:paraId="27B85C5D"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66BC1DB9" w14:textId="77777777" w:rsidR="002A5426" w:rsidRPr="002A5426" w:rsidRDefault="002A5426" w:rsidP="001F23F2">
            <w:pPr>
              <w:ind w:left="176"/>
            </w:pPr>
            <w:r w:rsidRPr="002A5426">
              <w:t>Western Australia is celebrated as the best place to live in Australia.</w:t>
            </w:r>
          </w:p>
          <w:p w14:paraId="59CD218D" w14:textId="77777777" w:rsidR="002A5426" w:rsidRPr="00CD7736" w:rsidRDefault="002A5426" w:rsidP="001F23F2">
            <w:pPr>
              <w:ind w:left="176"/>
            </w:pPr>
          </w:p>
        </w:tc>
        <w:tc>
          <w:tcPr>
            <w:tcW w:w="2413" w:type="dxa"/>
            <w:shd w:val="clear" w:color="auto" w:fill="auto"/>
          </w:tcPr>
          <w:p w14:paraId="2D8D1091"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17C14533"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6C8863AE"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47650638"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09AC5D80"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6E3C1E34"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135FA8C7" w14:textId="5D1FF7D2" w:rsidR="00DF73AB" w:rsidRDefault="00D024AF" w:rsidP="004F034E">
      <w:r w:rsidRPr="00D024AF">
        <w:t>The Office of Multicultural Interests works to achieve the full potential of multiculturalism in Western Australia. This requires strategies that encompass the whole community, including business and industry groups, government and non-government agencies, culturally diverse communities and the wider community. It works with these communities to support and promote equity and accessibility.</w:t>
      </w:r>
    </w:p>
    <w:p w14:paraId="57DAA5BF" w14:textId="77777777" w:rsidR="002A5426" w:rsidRPr="00407476" w:rsidRDefault="002A5426" w:rsidP="002A5426">
      <w:pPr>
        <w:pStyle w:val="Heading2"/>
        <w:rPr>
          <w:color w:val="808080" w:themeColor="background2" w:themeShade="80"/>
        </w:rPr>
      </w:pPr>
      <w:r w:rsidRPr="00E85B5A">
        <w:t>Position</w:t>
      </w:r>
      <w:r>
        <w:t xml:space="preserve"> purpose</w:t>
      </w:r>
    </w:p>
    <w:p w14:paraId="2217AA90" w14:textId="1CB203E2" w:rsidR="002A5426" w:rsidRPr="00106DB7" w:rsidRDefault="005F5696" w:rsidP="004F034E">
      <w:r>
        <w:t xml:space="preserve">This </w:t>
      </w:r>
      <w:r w:rsidR="00932021" w:rsidRPr="00932021">
        <w:t>position contributes to the development and implementation of the Office of Multicultural Interests’ (OMI) Community Engagement Strategy, along with programs and initiatives outlined in the annual operational plan community engagement model and operational plan for the Office of Multicultural Interests (OMI) to build the capacity of the Western Australian culturally and linguistically diverse (CaLD) community. The Officer engages with CaLD communities, the public sector and the business sector to develop and implement strategies and programs aimed at achieving the full potential of multiculturalism.</w:t>
      </w:r>
    </w:p>
    <w:p w14:paraId="00F7296A" w14:textId="77777777" w:rsidR="001A0F28" w:rsidRPr="00407476" w:rsidRDefault="00331FE0" w:rsidP="004F034E">
      <w:pPr>
        <w:pStyle w:val="Heading2"/>
      </w:pPr>
      <w:r w:rsidRPr="00407476">
        <w:t>Responsibilities</w:t>
      </w:r>
      <w:r w:rsidR="003854A7" w:rsidRPr="00407476">
        <w:t xml:space="preserve"> </w:t>
      </w:r>
    </w:p>
    <w:p w14:paraId="3F01A4F0" w14:textId="77777777" w:rsidR="00490E9F" w:rsidRDefault="00490E9F" w:rsidP="003E18C2">
      <w:pPr>
        <w:pStyle w:val="ListParagraph"/>
        <w:ind w:left="995"/>
      </w:pPr>
      <w:r>
        <w:t>Assists with the development and implementation of Office’s Community Engagement Framework and operational plan in line with the OMI Strategic Plan.</w:t>
      </w:r>
    </w:p>
    <w:p w14:paraId="3D216926" w14:textId="77777777" w:rsidR="00490E9F" w:rsidRDefault="00490E9F" w:rsidP="003E18C2">
      <w:pPr>
        <w:pStyle w:val="ListParagraph"/>
        <w:ind w:left="995"/>
      </w:pPr>
      <w:r>
        <w:t>Engages with CaLD communities, the public sector, not for profit and the business sector to develop and implement strategies and programs aimed at achieving equity for people of CaLD backgrounds.</w:t>
      </w:r>
    </w:p>
    <w:p w14:paraId="30FCCA5C" w14:textId="7A518136" w:rsidR="00490E9F" w:rsidRDefault="00490E9F" w:rsidP="003E18C2">
      <w:pPr>
        <w:pStyle w:val="ListParagraph"/>
        <w:ind w:left="995"/>
      </w:pPr>
      <w:r>
        <w:t>Develops and maintains networks with key stakeholders to foster partnerships and enhance capacity building in local CaLD communities.</w:t>
      </w:r>
    </w:p>
    <w:p w14:paraId="6CEBE7E3" w14:textId="07ABF75A" w:rsidR="00490E9F" w:rsidRDefault="00490E9F" w:rsidP="003E18C2">
      <w:pPr>
        <w:pStyle w:val="ListParagraph"/>
        <w:ind w:left="995"/>
      </w:pPr>
      <w:r>
        <w:lastRenderedPageBreak/>
        <w:t xml:space="preserve">Assists with developing and </w:t>
      </w:r>
      <w:r w:rsidR="003E18C2">
        <w:t>implementing project</w:t>
      </w:r>
      <w:r>
        <w:t xml:space="preserve"> management plans and supports the delivery of special projects and initiatives to promote multiculturalism within the WA community.</w:t>
      </w:r>
    </w:p>
    <w:p w14:paraId="312BDFB5" w14:textId="77777777" w:rsidR="00490E9F" w:rsidRDefault="00490E9F" w:rsidP="003E18C2">
      <w:pPr>
        <w:pStyle w:val="ListParagraph"/>
        <w:ind w:left="995"/>
      </w:pPr>
      <w:r>
        <w:t>Contributes to the evaluation of Community Engagement programs, strategies and action plans and other OMI initiatives.</w:t>
      </w:r>
    </w:p>
    <w:p w14:paraId="7B32007C" w14:textId="77777777" w:rsidR="00490E9F" w:rsidRDefault="00490E9F" w:rsidP="003E18C2">
      <w:pPr>
        <w:pStyle w:val="ListParagraph"/>
        <w:ind w:left="995"/>
      </w:pPr>
      <w:r>
        <w:t>Maintains knowledge and assists with advising on trends and developments affecting multicultural interests in Western Australia.</w:t>
      </w:r>
    </w:p>
    <w:p w14:paraId="48499E2A" w14:textId="45282616" w:rsidR="00490E9F" w:rsidRDefault="00490E9F" w:rsidP="003E18C2">
      <w:pPr>
        <w:pStyle w:val="ListParagraph"/>
        <w:ind w:left="995"/>
      </w:pPr>
      <w:r>
        <w:t xml:space="preserve">Provides advice and liaises with OMI staff on issues emerging from the community and recommends policy or program development on matters concerning multiculturalism in Western Australia. </w:t>
      </w:r>
    </w:p>
    <w:p w14:paraId="16573CB7" w14:textId="614966C5" w:rsidR="001930E7" w:rsidRPr="0064778B" w:rsidRDefault="00490E9F" w:rsidP="003E18C2">
      <w:pPr>
        <w:pStyle w:val="ListParagraph"/>
        <w:ind w:left="995"/>
      </w:pPr>
      <w:r>
        <w:t>Deliver presentations, assists with the preparation of briefing notes and other materials as required.</w:t>
      </w:r>
    </w:p>
    <w:p w14:paraId="4C73DBCB" w14:textId="77777777" w:rsidR="003E18C2" w:rsidRDefault="00F26433" w:rsidP="003E18C2">
      <w:pPr>
        <w:pStyle w:val="ListParagraph"/>
        <w:ind w:left="995"/>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63878D5B" w14:textId="07D0F048" w:rsidR="004C6439" w:rsidRPr="004C6439" w:rsidRDefault="00616C23" w:rsidP="00E01A93">
      <w:pPr>
        <w:pStyle w:val="ListParagraph"/>
        <w:ind w:left="995"/>
      </w:pPr>
      <w:r w:rsidRPr="00E32F00">
        <w:t xml:space="preserve">Perform any other duties as assigned or necessary to support the </w:t>
      </w:r>
      <w:r w:rsidR="00CD66C3" w:rsidRPr="00E32F00">
        <w:t>objectives of DLGSC</w:t>
      </w:r>
      <w:r w:rsidR="003E18C2">
        <w:t>.</w:t>
      </w:r>
    </w:p>
    <w:p w14:paraId="6246B9CB" w14:textId="77777777" w:rsidR="001A0F28" w:rsidRPr="00E32F00" w:rsidRDefault="002A5426" w:rsidP="004F034E">
      <w:pPr>
        <w:pStyle w:val="Heading2"/>
      </w:pPr>
      <w:r>
        <w:t>Work related requirements</w:t>
      </w:r>
    </w:p>
    <w:p w14:paraId="4E528380"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4E8BAEC6" w14:textId="77777777" w:rsidR="004C6439" w:rsidRDefault="004C6439" w:rsidP="004C6439">
      <w:pPr>
        <w:pStyle w:val="Heading3"/>
      </w:pPr>
      <w:r w:rsidRPr="004C6439">
        <w:t>Essential</w:t>
      </w:r>
    </w:p>
    <w:p w14:paraId="1FA9DD0B" w14:textId="77777777" w:rsidR="0035121E" w:rsidRDefault="0035121E" w:rsidP="0035121E">
      <w:pPr>
        <w:pStyle w:val="ListParagraph"/>
        <w:numPr>
          <w:ilvl w:val="0"/>
          <w:numId w:val="35"/>
        </w:numPr>
        <w:ind w:left="995"/>
      </w:pPr>
      <w:r>
        <w:t>Understanding of the contemporary issues affecting culturally and linguistically diverse (CaLD) communities.</w:t>
      </w:r>
    </w:p>
    <w:p w14:paraId="5291AAF0" w14:textId="77777777" w:rsidR="0035121E" w:rsidRDefault="0035121E" w:rsidP="0035121E">
      <w:pPr>
        <w:pStyle w:val="ListParagraph"/>
        <w:numPr>
          <w:ilvl w:val="0"/>
          <w:numId w:val="35"/>
        </w:numPr>
        <w:ind w:left="995"/>
      </w:pPr>
      <w:r>
        <w:t>Demonstrated experience in working effectively with CaLD communities and organisations.</w:t>
      </w:r>
    </w:p>
    <w:p w14:paraId="39579F04" w14:textId="29B9641D" w:rsidR="0035121E" w:rsidRDefault="0035121E" w:rsidP="0035121E">
      <w:pPr>
        <w:pStyle w:val="ListParagraph"/>
        <w:numPr>
          <w:ilvl w:val="0"/>
          <w:numId w:val="35"/>
        </w:numPr>
        <w:ind w:left="995"/>
      </w:pPr>
      <w:r>
        <w:t>Demonstrate</w:t>
      </w:r>
      <w:r w:rsidR="007B2517">
        <w:t>d</w:t>
      </w:r>
      <w:r>
        <w:t xml:space="preserve"> conceptual and analytical skills with experience in developing and implementing community engagement programs in line with organisational goals.</w:t>
      </w:r>
    </w:p>
    <w:p w14:paraId="717C3085" w14:textId="77777777" w:rsidR="0035121E" w:rsidRDefault="0035121E" w:rsidP="0035121E">
      <w:pPr>
        <w:pStyle w:val="ListParagraph"/>
        <w:numPr>
          <w:ilvl w:val="0"/>
          <w:numId w:val="35"/>
        </w:numPr>
        <w:ind w:left="995"/>
      </w:pPr>
      <w:r>
        <w:t xml:space="preserve">Proven project management experience with the ability to coordinate a range of initiatives and stakeholders, contributing to the objectives of the organisation. </w:t>
      </w:r>
    </w:p>
    <w:p w14:paraId="013AB3BE" w14:textId="59C070FD" w:rsidR="004C6439" w:rsidRDefault="0035121E" w:rsidP="0035121E">
      <w:pPr>
        <w:pStyle w:val="ListParagraph"/>
        <w:numPr>
          <w:ilvl w:val="0"/>
          <w:numId w:val="35"/>
        </w:numPr>
        <w:ind w:left="995"/>
      </w:pPr>
      <w:r>
        <w:t>Effective communication, negotiation and facilitation skills that adapt to the needs of the stakeholder to deliver combined outcomes.</w:t>
      </w:r>
    </w:p>
    <w:p w14:paraId="440E3346" w14:textId="77777777" w:rsidR="004C6439" w:rsidRPr="004C6439" w:rsidRDefault="004C6439" w:rsidP="004C6439">
      <w:pPr>
        <w:pStyle w:val="Heading3"/>
      </w:pPr>
      <w:r>
        <w:t>Desirable</w:t>
      </w:r>
    </w:p>
    <w:p w14:paraId="7166E991" w14:textId="77777777" w:rsidR="00864D3E" w:rsidRDefault="00864D3E" w:rsidP="00864D3E">
      <w:pPr>
        <w:pStyle w:val="ListParagraph"/>
        <w:numPr>
          <w:ilvl w:val="0"/>
          <w:numId w:val="36"/>
        </w:numPr>
        <w:jc w:val="both"/>
      </w:pPr>
      <w:r>
        <w:t>Completed or progress towards Tertiary qualifications in a relevant discipline.</w:t>
      </w:r>
    </w:p>
    <w:p w14:paraId="141B4ECC" w14:textId="77777777" w:rsidR="00864D3E" w:rsidRDefault="00864D3E" w:rsidP="00864D3E">
      <w:pPr>
        <w:pStyle w:val="ListParagraph"/>
        <w:numPr>
          <w:ilvl w:val="0"/>
          <w:numId w:val="36"/>
        </w:numPr>
        <w:jc w:val="both"/>
      </w:pPr>
      <w:r>
        <w:t xml:space="preserve">Well-developed relationships and networks in the CaLD sector. </w:t>
      </w:r>
    </w:p>
    <w:p w14:paraId="6FD1E78F" w14:textId="77777777" w:rsidR="00600B88" w:rsidRDefault="009D0E60" w:rsidP="004F034E">
      <w:pPr>
        <w:pStyle w:val="Heading2"/>
      </w:pPr>
      <w:r>
        <w:br/>
      </w:r>
      <w:r w:rsidR="004C6439">
        <w:t>Special conditions</w:t>
      </w:r>
    </w:p>
    <w:p w14:paraId="2D9846F2" w14:textId="474F6DE8" w:rsidR="00162075" w:rsidRDefault="00162075" w:rsidP="00162075">
      <w:pPr>
        <w:jc w:val="both"/>
      </w:pPr>
      <w:r>
        <w:t>Working outside of business hours may be required.</w:t>
      </w:r>
    </w:p>
    <w:p w14:paraId="45E672A7" w14:textId="77777777" w:rsidR="00162075" w:rsidRDefault="00162075" w:rsidP="00162075">
      <w:pPr>
        <w:jc w:val="both"/>
      </w:pPr>
      <w:r>
        <w:t xml:space="preserve">Ability and willingness to undertake travel </w:t>
      </w:r>
      <w:r w:rsidRPr="0080771B">
        <w:t xml:space="preserve">within the Perth Metropolitan and regional Western Australia </w:t>
      </w:r>
      <w:r>
        <w:t xml:space="preserve">for business needs. </w:t>
      </w:r>
    </w:p>
    <w:p w14:paraId="5B0332B3"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1D4D7E6B" w14:textId="1002BF45" w:rsidR="00F32450" w:rsidRPr="00F32450" w:rsidRDefault="00280DC3" w:rsidP="00694EC6">
      <w:r>
        <w:t xml:space="preserve">All </w:t>
      </w:r>
      <w:r w:rsidR="00581DB5">
        <w:t>d</w:t>
      </w:r>
      <w:r>
        <w:t xml:space="preserve">epartment positions require </w:t>
      </w:r>
      <w:r w:rsidR="0097230B">
        <w:t>a current Criminal History Check (</w:t>
      </w:r>
      <w:r>
        <w:t>National Police C</w:t>
      </w:r>
      <w:r w:rsidR="0097230B">
        <w:t xml:space="preserve">ertificate or equivalent) </w:t>
      </w:r>
      <w:r w:rsidR="00FF62F4">
        <w:t xml:space="preserve">and 100 Point Identification Check </w:t>
      </w:r>
      <w:r w:rsidR="0097230B">
        <w:t>prior</w:t>
      </w:r>
      <w:r>
        <w:t xml:space="preserve"> to commencement.</w:t>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33A43470" w14:textId="77777777" w:rsidTr="004C6439">
        <w:trPr>
          <w:trHeight w:val="397"/>
        </w:trPr>
        <w:tc>
          <w:tcPr>
            <w:tcW w:w="2678" w:type="dxa"/>
          </w:tcPr>
          <w:p w14:paraId="40F79A8D" w14:textId="77777777" w:rsidR="004C6439" w:rsidRPr="00E32F00" w:rsidRDefault="004C6439" w:rsidP="004F034E">
            <w:r w:rsidRPr="00E32F00">
              <w:t>Registration date</w:t>
            </w:r>
          </w:p>
        </w:tc>
        <w:tc>
          <w:tcPr>
            <w:tcW w:w="6662" w:type="dxa"/>
          </w:tcPr>
          <w:p w14:paraId="75F0D83B" w14:textId="0BF53DB3" w:rsidR="004C6439" w:rsidRPr="00E32F00" w:rsidRDefault="000E7557" w:rsidP="004F034E">
            <w:r>
              <w:t xml:space="preserve">26 July 2024 </w:t>
            </w:r>
          </w:p>
        </w:tc>
      </w:tr>
    </w:tbl>
    <w:p w14:paraId="3D7C80D5" w14:textId="77777777" w:rsidR="008B7153" w:rsidRDefault="008B7153" w:rsidP="00694EC6">
      <w:pPr>
        <w:ind w:left="0"/>
      </w:pPr>
    </w:p>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5FC83" w14:textId="77777777" w:rsidR="00A45DC2" w:rsidRDefault="00A45DC2" w:rsidP="004F034E">
      <w:r>
        <w:separator/>
      </w:r>
    </w:p>
    <w:p w14:paraId="6194F90A" w14:textId="77777777" w:rsidR="00A45DC2" w:rsidRDefault="00A45DC2" w:rsidP="004F034E"/>
  </w:endnote>
  <w:endnote w:type="continuationSeparator" w:id="0">
    <w:p w14:paraId="76962D3B" w14:textId="77777777" w:rsidR="00A45DC2" w:rsidRDefault="00A45DC2" w:rsidP="004F034E">
      <w:r>
        <w:continuationSeparator/>
      </w:r>
    </w:p>
    <w:p w14:paraId="7A5229D0" w14:textId="77777777" w:rsidR="00A45DC2" w:rsidRDefault="00A45DC2" w:rsidP="004F034E"/>
  </w:endnote>
  <w:endnote w:type="continuationNotice" w:id="1">
    <w:p w14:paraId="53DA6FE1" w14:textId="77777777" w:rsidR="00A45DC2" w:rsidRDefault="00A45DC2"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A7DF"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64F0BAED" wp14:editId="02400C6A">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D78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7D63"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6E28EAB7" wp14:editId="32C14EC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25BF1"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2D5E28EF"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28EAB7"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7A125BF1"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2D5E28EF"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250E"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0A60EF8B" wp14:editId="43D268FC">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814FD"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12D9E908"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4CCD9772"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60EF8B"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CC814FD"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12D9E908"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4CCD9772"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41425D1B"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B138" w14:textId="77777777" w:rsidR="00A45DC2" w:rsidRDefault="00A45DC2" w:rsidP="004F034E">
      <w:r>
        <w:separator/>
      </w:r>
    </w:p>
    <w:p w14:paraId="00F26EF0" w14:textId="77777777" w:rsidR="00A45DC2" w:rsidRDefault="00A45DC2" w:rsidP="004F034E"/>
  </w:footnote>
  <w:footnote w:type="continuationSeparator" w:id="0">
    <w:p w14:paraId="02649700" w14:textId="77777777" w:rsidR="00A45DC2" w:rsidRDefault="00A45DC2" w:rsidP="004F034E">
      <w:r>
        <w:continuationSeparator/>
      </w:r>
    </w:p>
    <w:p w14:paraId="68019A9D" w14:textId="77777777" w:rsidR="00A45DC2" w:rsidRDefault="00A45DC2" w:rsidP="004F034E"/>
  </w:footnote>
  <w:footnote w:type="continuationNotice" w:id="1">
    <w:p w14:paraId="1CD295F5" w14:textId="77777777" w:rsidR="00A45DC2" w:rsidRDefault="00A45DC2"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6871" w14:textId="655EC453"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826DA2" w:rsidRPr="00826DA2">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826DA2">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FA8B"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46C0D4C7" wp14:editId="6EAFAF9B">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B34D"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3CF78F58" wp14:editId="0042EA28">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221DA313" wp14:editId="6605DFA0">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E3085"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3737E9C"/>
    <w:multiLevelType w:val="hybridMultilevel"/>
    <w:tmpl w:val="13088A04"/>
    <w:lvl w:ilvl="0" w:tplc="FFFFFFFF">
      <w:start w:val="1"/>
      <w:numFmt w:val="decimal"/>
      <w:lvlText w:val="%1."/>
      <w:lvlJc w:val="left"/>
      <w:pPr>
        <w:ind w:left="1004" w:hanging="360"/>
      </w:pPr>
    </w:lvl>
    <w:lvl w:ilvl="1" w:tplc="FFFFFFFF">
      <w:start w:val="1"/>
      <w:numFmt w:val="bullet"/>
      <w:lvlText w:val=""/>
      <w:lvlJc w:val="left"/>
      <w:pPr>
        <w:ind w:left="1724" w:hanging="360"/>
      </w:pPr>
      <w:rPr>
        <w:rFonts w:ascii="Symbol" w:hAnsi="Symbol" w:hint="default"/>
      </w:r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4"/>
  </w:num>
  <w:num w:numId="2" w16cid:durableId="726149911">
    <w:abstractNumId w:val="28"/>
  </w:num>
  <w:num w:numId="3" w16cid:durableId="334038920">
    <w:abstractNumId w:val="16"/>
  </w:num>
  <w:num w:numId="4" w16cid:durableId="910433445">
    <w:abstractNumId w:val="29"/>
  </w:num>
  <w:num w:numId="5" w16cid:durableId="976297257">
    <w:abstractNumId w:val="20"/>
  </w:num>
  <w:num w:numId="6" w16cid:durableId="328018657">
    <w:abstractNumId w:val="34"/>
  </w:num>
  <w:num w:numId="7" w16cid:durableId="2076658215">
    <w:abstractNumId w:val="7"/>
  </w:num>
  <w:num w:numId="8" w16cid:durableId="1591620421">
    <w:abstractNumId w:val="17"/>
  </w:num>
  <w:num w:numId="9" w16cid:durableId="17006256">
    <w:abstractNumId w:val="27"/>
  </w:num>
  <w:num w:numId="10" w16cid:durableId="1903563376">
    <w:abstractNumId w:val="23"/>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2"/>
  </w:num>
  <w:num w:numId="16" w16cid:durableId="411853694">
    <w:abstractNumId w:val="33"/>
  </w:num>
  <w:num w:numId="17" w16cid:durableId="568659907">
    <w:abstractNumId w:val="15"/>
  </w:num>
  <w:num w:numId="18" w16cid:durableId="1892839358">
    <w:abstractNumId w:val="3"/>
  </w:num>
  <w:num w:numId="19" w16cid:durableId="1563440370">
    <w:abstractNumId w:val="32"/>
  </w:num>
  <w:num w:numId="20" w16cid:durableId="1893881933">
    <w:abstractNumId w:val="5"/>
  </w:num>
  <w:num w:numId="21" w16cid:durableId="567425944">
    <w:abstractNumId w:val="1"/>
  </w:num>
  <w:num w:numId="22" w16cid:durableId="36395154">
    <w:abstractNumId w:val="0"/>
  </w:num>
  <w:num w:numId="23" w16cid:durableId="933635896">
    <w:abstractNumId w:val="13"/>
  </w:num>
  <w:num w:numId="24" w16cid:durableId="393236011">
    <w:abstractNumId w:val="25"/>
  </w:num>
  <w:num w:numId="25" w16cid:durableId="160050575">
    <w:abstractNumId w:val="19"/>
  </w:num>
  <w:num w:numId="26" w16cid:durableId="144201119">
    <w:abstractNumId w:val="21"/>
  </w:num>
  <w:num w:numId="27" w16cid:durableId="870416179">
    <w:abstractNumId w:val="8"/>
  </w:num>
  <w:num w:numId="28" w16cid:durableId="899830477">
    <w:abstractNumId w:val="26"/>
  </w:num>
  <w:num w:numId="29" w16cid:durableId="246886528">
    <w:abstractNumId w:val="30"/>
  </w:num>
  <w:num w:numId="30" w16cid:durableId="1790659725">
    <w:abstractNumId w:val="35"/>
  </w:num>
  <w:num w:numId="31" w16cid:durableId="454711483">
    <w:abstractNumId w:val="24"/>
  </w:num>
  <w:num w:numId="32" w16cid:durableId="153029916">
    <w:abstractNumId w:val="9"/>
  </w:num>
  <w:num w:numId="33" w16cid:durableId="2037652308">
    <w:abstractNumId w:val="14"/>
  </w:num>
  <w:num w:numId="34" w16cid:durableId="2062484932">
    <w:abstractNumId w:val="31"/>
  </w:num>
  <w:num w:numId="35" w16cid:durableId="1997025342">
    <w:abstractNumId w:val="2"/>
  </w:num>
  <w:num w:numId="36" w16cid:durableId="2752990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A2"/>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603"/>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557"/>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62075"/>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15F8"/>
    <w:rsid w:val="001B3CF4"/>
    <w:rsid w:val="001C100F"/>
    <w:rsid w:val="001C30BC"/>
    <w:rsid w:val="001D040F"/>
    <w:rsid w:val="001D1336"/>
    <w:rsid w:val="001D4C36"/>
    <w:rsid w:val="001E0164"/>
    <w:rsid w:val="001E1A26"/>
    <w:rsid w:val="001E3297"/>
    <w:rsid w:val="001E577A"/>
    <w:rsid w:val="001E6206"/>
    <w:rsid w:val="001E798A"/>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21E"/>
    <w:rsid w:val="00356C07"/>
    <w:rsid w:val="00363ECA"/>
    <w:rsid w:val="00365B13"/>
    <w:rsid w:val="003673CF"/>
    <w:rsid w:val="00371BBF"/>
    <w:rsid w:val="0037330B"/>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C7938"/>
    <w:rsid w:val="003D05FB"/>
    <w:rsid w:val="003D0B07"/>
    <w:rsid w:val="003D4649"/>
    <w:rsid w:val="003D56C4"/>
    <w:rsid w:val="003D5B98"/>
    <w:rsid w:val="003D6E95"/>
    <w:rsid w:val="003D6FB9"/>
    <w:rsid w:val="003E0B55"/>
    <w:rsid w:val="003E18C2"/>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0E9F"/>
    <w:rsid w:val="00491AF1"/>
    <w:rsid w:val="004942A0"/>
    <w:rsid w:val="00497CD5"/>
    <w:rsid w:val="004A3BC7"/>
    <w:rsid w:val="004A4E19"/>
    <w:rsid w:val="004B63D4"/>
    <w:rsid w:val="004C061E"/>
    <w:rsid w:val="004C1992"/>
    <w:rsid w:val="004C26E1"/>
    <w:rsid w:val="004C6439"/>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778FE"/>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5696"/>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4EC6"/>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24B"/>
    <w:rsid w:val="00782AE1"/>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2517"/>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6DA2"/>
    <w:rsid w:val="00827093"/>
    <w:rsid w:val="00827F31"/>
    <w:rsid w:val="00834548"/>
    <w:rsid w:val="00836D67"/>
    <w:rsid w:val="00842201"/>
    <w:rsid w:val="0084305F"/>
    <w:rsid w:val="008474AD"/>
    <w:rsid w:val="00850DD3"/>
    <w:rsid w:val="00852732"/>
    <w:rsid w:val="00853E91"/>
    <w:rsid w:val="00854B43"/>
    <w:rsid w:val="00855064"/>
    <w:rsid w:val="00864D3E"/>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003F"/>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2021"/>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25C45"/>
    <w:rsid w:val="00A350DB"/>
    <w:rsid w:val="00A405FB"/>
    <w:rsid w:val="00A41703"/>
    <w:rsid w:val="00A42DA3"/>
    <w:rsid w:val="00A44CDC"/>
    <w:rsid w:val="00A45DC2"/>
    <w:rsid w:val="00A479F0"/>
    <w:rsid w:val="00A5271B"/>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BB"/>
    <w:rsid w:val="00B21F58"/>
    <w:rsid w:val="00B226AF"/>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2B6B"/>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24AF"/>
    <w:rsid w:val="00D030B0"/>
    <w:rsid w:val="00D0314E"/>
    <w:rsid w:val="00D03483"/>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1A93"/>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5533D"/>
    <w:rsid w:val="00E572E9"/>
    <w:rsid w:val="00E579A9"/>
    <w:rsid w:val="00E60833"/>
    <w:rsid w:val="00E616E3"/>
    <w:rsid w:val="00E63DC0"/>
    <w:rsid w:val="00E64480"/>
    <w:rsid w:val="00E660F3"/>
    <w:rsid w:val="00E731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322A"/>
    <w:rsid w:val="00ED7397"/>
    <w:rsid w:val="00ED7688"/>
    <w:rsid w:val="00EE19D2"/>
    <w:rsid w:val="00EE220E"/>
    <w:rsid w:val="00EE726F"/>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742F5"/>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0FF62F4"/>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FA1C"/>
  <w15:docId w15:val="{49ABFDE9-806C-447E-9907-F77A5A61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burns\OneDrive%20-%20DLGSC\Contracts\JDF\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94E7CC1E8649AA8F0541312F7E6A2A"/>
        <w:category>
          <w:name w:val="General"/>
          <w:gallery w:val="placeholder"/>
        </w:category>
        <w:types>
          <w:type w:val="bbPlcHdr"/>
        </w:types>
        <w:behaviors>
          <w:behavior w:val="content"/>
        </w:behaviors>
        <w:guid w:val="{FD3E9101-690D-49FE-8B9C-6CAE2F05E8DF}"/>
      </w:docPartPr>
      <w:docPartBody>
        <w:p w:rsidR="0044432B" w:rsidRDefault="00000000">
          <w:pPr>
            <w:pStyle w:val="0194E7CC1E8649AA8F0541312F7E6A2A"/>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36"/>
    <w:rsid w:val="00151586"/>
    <w:rsid w:val="0044432B"/>
    <w:rsid w:val="005F1836"/>
    <w:rsid w:val="0078224B"/>
    <w:rsid w:val="00782AE1"/>
    <w:rsid w:val="00E6544F"/>
    <w:rsid w:val="00F742F5"/>
    <w:rsid w:val="00FF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94E7CC1E8649AA8F0541312F7E6A2A">
    <w:name w:val="0194E7CC1E8649AA8F0541312F7E6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Props1.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28</TotalTime>
  <Pages>2</Pages>
  <Words>709</Words>
  <Characters>3789</Characters>
  <Application>Microsoft Office Word</Application>
  <DocSecurity>0</DocSecurity>
  <Lines>172</Lines>
  <Paragraphs>140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4358</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Ava Burns</dc:creator>
  <cp:keywords/>
  <cp:lastModifiedBy>Ava Burns</cp:lastModifiedBy>
  <cp:revision>21</cp:revision>
  <cp:lastPrinted>2014-08-21T12:29:00Z</cp:lastPrinted>
  <dcterms:created xsi:type="dcterms:W3CDTF">2024-07-26T03:22:00Z</dcterms:created>
  <dcterms:modified xsi:type="dcterms:W3CDTF">2024-07-30T04:15:00Z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