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6C" w:rsidRDefault="0002026C" w:rsidP="002C3F68">
      <w:pPr>
        <w:spacing w:before="99"/>
        <w:ind w:left="2613" w:right="2613"/>
        <w:jc w:val="center"/>
        <w:rPr>
          <w:b/>
          <w:sz w:val="27"/>
        </w:rPr>
      </w:pPr>
    </w:p>
    <w:p w:rsidR="0002026C" w:rsidRDefault="0002026C" w:rsidP="002C3F68">
      <w:pPr>
        <w:spacing w:before="99"/>
        <w:ind w:left="2613" w:right="2613"/>
        <w:jc w:val="center"/>
        <w:rPr>
          <w:b/>
          <w:sz w:val="27"/>
        </w:rPr>
      </w:pPr>
    </w:p>
    <w:p w:rsidR="002C3F68" w:rsidRPr="00FC6F65" w:rsidRDefault="00B00758" w:rsidP="00B00758">
      <w:pPr>
        <w:spacing w:before="99"/>
        <w:ind w:left="1701" w:right="838"/>
        <w:jc w:val="center"/>
        <w:rPr>
          <w:b/>
          <w:color w:val="0072A6"/>
          <w:sz w:val="27"/>
        </w:rPr>
      </w:pPr>
      <w:r>
        <w:rPr>
          <w:b/>
          <w:color w:val="0072A6"/>
          <w:sz w:val="27"/>
        </w:rPr>
        <w:t>Manager (Wellbeing, Research and Data)</w:t>
      </w:r>
    </w:p>
    <w:p w:rsidR="002C3F68" w:rsidRPr="00FC6F65" w:rsidRDefault="002C3F68" w:rsidP="002C3F68">
      <w:pPr>
        <w:spacing w:before="193"/>
        <w:ind w:left="2613" w:right="2613"/>
        <w:jc w:val="center"/>
        <w:rPr>
          <w:b/>
          <w:color w:val="0072A6"/>
          <w:sz w:val="16"/>
        </w:rPr>
      </w:pPr>
      <w:r w:rsidRPr="00FC6F65">
        <w:rPr>
          <w:b/>
          <w:color w:val="0072A6"/>
          <w:sz w:val="16"/>
        </w:rPr>
        <w:t>POSITION:  CCYP00</w:t>
      </w:r>
      <w:r w:rsidR="005F5E2D" w:rsidRPr="00FC6F65">
        <w:rPr>
          <w:b/>
          <w:color w:val="0072A6"/>
          <w:sz w:val="16"/>
        </w:rPr>
        <w:t>03678</w:t>
      </w:r>
      <w:r w:rsidR="00B00758">
        <w:rPr>
          <w:b/>
          <w:color w:val="0072A6"/>
          <w:sz w:val="16"/>
        </w:rPr>
        <w:t>6</w:t>
      </w:r>
    </w:p>
    <w:p w:rsidR="002C3F68" w:rsidRPr="00FC6F65" w:rsidRDefault="002C3F68" w:rsidP="002C3F68">
      <w:pPr>
        <w:pStyle w:val="BodyText"/>
        <w:spacing w:before="7"/>
        <w:rPr>
          <w:b/>
          <w:color w:val="0072A6"/>
          <w:sz w:val="15"/>
        </w:rPr>
      </w:pPr>
    </w:p>
    <w:p w:rsidR="002C3F68" w:rsidRPr="00FC6F65" w:rsidRDefault="002C3F68" w:rsidP="00781539">
      <w:pPr>
        <w:ind w:left="2268" w:right="2256"/>
        <w:jc w:val="center"/>
        <w:rPr>
          <w:b/>
          <w:color w:val="0072A6"/>
          <w:sz w:val="16"/>
        </w:rPr>
      </w:pPr>
      <w:r w:rsidRPr="00FC6F65">
        <w:rPr>
          <w:b/>
          <w:color w:val="0072A6"/>
          <w:sz w:val="16"/>
        </w:rPr>
        <w:t>PSGO</w:t>
      </w:r>
      <w:r w:rsidR="00781539" w:rsidRPr="00FC6F65">
        <w:rPr>
          <w:b/>
          <w:color w:val="0072A6"/>
          <w:sz w:val="16"/>
        </w:rPr>
        <w:t xml:space="preserve"> CSA </w:t>
      </w:r>
      <w:r w:rsidRPr="00FC6F65">
        <w:rPr>
          <w:b/>
          <w:color w:val="0072A6"/>
          <w:sz w:val="16"/>
        </w:rPr>
        <w:t>GA 201</w:t>
      </w:r>
      <w:r w:rsidR="00781539" w:rsidRPr="00FC6F65">
        <w:rPr>
          <w:b/>
          <w:color w:val="0072A6"/>
          <w:sz w:val="16"/>
        </w:rPr>
        <w:t>7</w:t>
      </w:r>
      <w:r w:rsidRPr="00FC6F65">
        <w:rPr>
          <w:b/>
          <w:color w:val="0072A6"/>
          <w:sz w:val="16"/>
        </w:rPr>
        <w:t xml:space="preserve">, Level </w:t>
      </w:r>
      <w:r w:rsidR="00B00758">
        <w:rPr>
          <w:b/>
          <w:color w:val="0072A6"/>
          <w:sz w:val="16"/>
        </w:rPr>
        <w:t>7</w:t>
      </w:r>
      <w:r w:rsidRPr="00FC6F65">
        <w:rPr>
          <w:b/>
          <w:color w:val="0072A6"/>
          <w:sz w:val="16"/>
        </w:rPr>
        <w:t>, $</w:t>
      </w:r>
      <w:r w:rsidR="00C92843">
        <w:rPr>
          <w:b/>
          <w:color w:val="0072A6"/>
          <w:sz w:val="16"/>
        </w:rPr>
        <w:t>117</w:t>
      </w:r>
      <w:r w:rsidR="00F826AD">
        <w:rPr>
          <w:b/>
          <w:color w:val="0072A6"/>
          <w:sz w:val="16"/>
        </w:rPr>
        <w:t>,</w:t>
      </w:r>
      <w:r w:rsidR="00C92843">
        <w:rPr>
          <w:b/>
          <w:color w:val="0072A6"/>
          <w:sz w:val="16"/>
        </w:rPr>
        <w:t>725 - $126,033</w:t>
      </w:r>
    </w:p>
    <w:p w:rsidR="002C3F68" w:rsidRPr="00FC6F65" w:rsidRDefault="00B00758" w:rsidP="002C3F68">
      <w:pPr>
        <w:ind w:left="2613" w:right="2613"/>
        <w:jc w:val="center"/>
        <w:rPr>
          <w:color w:val="0072A6"/>
          <w:sz w:val="15"/>
        </w:rPr>
      </w:pPr>
      <w:r>
        <w:rPr>
          <w:color w:val="0072A6"/>
          <w:sz w:val="15"/>
        </w:rPr>
        <w:t>Permanent full-time</w:t>
      </w:r>
    </w:p>
    <w:p w:rsidR="002C3F68" w:rsidRPr="00FC6F65" w:rsidRDefault="002C3F68" w:rsidP="002C3F68">
      <w:pPr>
        <w:spacing w:before="79"/>
        <w:ind w:left="2613" w:right="2612"/>
        <w:jc w:val="center"/>
        <w:rPr>
          <w:color w:val="0072A6"/>
          <w:sz w:val="15"/>
        </w:rPr>
      </w:pPr>
      <w:r w:rsidRPr="00FC6F65">
        <w:rPr>
          <w:b/>
          <w:color w:val="0072A6"/>
          <w:sz w:val="15"/>
        </w:rPr>
        <w:t xml:space="preserve">LOCATION: </w:t>
      </w:r>
      <w:r w:rsidRPr="00FC6F65">
        <w:rPr>
          <w:color w:val="0072A6"/>
          <w:sz w:val="15"/>
        </w:rPr>
        <w:t>Subiaco</w:t>
      </w:r>
    </w:p>
    <w:p w:rsidR="002C3F68" w:rsidRDefault="002C3F68" w:rsidP="002C3F68">
      <w:pPr>
        <w:pStyle w:val="BodyText"/>
      </w:pPr>
    </w:p>
    <w:p w:rsidR="00900877" w:rsidRPr="00D22F28" w:rsidRDefault="00900877" w:rsidP="00900877">
      <w:pPr>
        <w:ind w:left="540"/>
        <w:jc w:val="both"/>
        <w:rPr>
          <w:rFonts w:ascii="Tahoma" w:hAnsi="Tahoma" w:cs="Tahoma"/>
        </w:rPr>
      </w:pPr>
      <w:r w:rsidRPr="00D22F28">
        <w:rPr>
          <w:rFonts w:ascii="Tahoma" w:hAnsi="Tahoma" w:cs="Tahoma"/>
        </w:rPr>
        <w:t xml:space="preserve">The Commissioner for Children and Young People is an independent statutory office holder who reports directly to Parliament. The Commissioner's powers and functions are set out in the </w:t>
      </w:r>
      <w:r w:rsidRPr="000565D1">
        <w:rPr>
          <w:rFonts w:ascii="Tahoma" w:hAnsi="Tahoma" w:cs="Tahoma"/>
          <w:i/>
        </w:rPr>
        <w:t>Commissioner for Children and Young People Act 2006</w:t>
      </w:r>
      <w:r w:rsidRPr="00D22F28">
        <w:rPr>
          <w:rFonts w:ascii="Tahoma" w:hAnsi="Tahoma" w:cs="Tahoma"/>
        </w:rPr>
        <w:t>.</w:t>
      </w:r>
    </w:p>
    <w:p w:rsidR="00900877" w:rsidRPr="00D22F28" w:rsidRDefault="00900877" w:rsidP="00900877">
      <w:pPr>
        <w:ind w:left="540"/>
        <w:jc w:val="both"/>
        <w:rPr>
          <w:rFonts w:ascii="Tahoma" w:hAnsi="Tahoma" w:cs="Tahoma"/>
        </w:rPr>
      </w:pPr>
    </w:p>
    <w:p w:rsidR="00900877" w:rsidRPr="00D22F28" w:rsidRDefault="00900877" w:rsidP="00900877">
      <w:pPr>
        <w:spacing w:after="240"/>
        <w:ind w:left="540"/>
        <w:jc w:val="both"/>
        <w:rPr>
          <w:rFonts w:ascii="Tahoma" w:hAnsi="Tahoma" w:cs="Tahoma"/>
        </w:rPr>
      </w:pPr>
      <w:r w:rsidRPr="00D22F28">
        <w:rPr>
          <w:rFonts w:ascii="Tahoma" w:hAnsi="Tahoma" w:cs="Tahoma"/>
        </w:rPr>
        <w:t>The Commissioner represents and advocates on behalf of children and young people under the age of 18 years in Western Australia. The Commissioner is required to have special regard for the needs of Aboriginal and Torres Strait Islander children and young people and other vulnerable children and young people. The best interests of children and young people are paramount and the Commissioner is dedicated to ensuring the voices of children and young people are heard.</w:t>
      </w:r>
    </w:p>
    <w:p w:rsidR="00900877" w:rsidRPr="00D22F28" w:rsidRDefault="00900877" w:rsidP="00900877">
      <w:pPr>
        <w:spacing w:after="240"/>
        <w:ind w:left="540"/>
        <w:jc w:val="both"/>
        <w:rPr>
          <w:rFonts w:ascii="Tahoma" w:hAnsi="Tahoma" w:cs="Tahoma"/>
          <w:b/>
          <w:color w:val="0072A6"/>
        </w:rPr>
      </w:pPr>
      <w:r w:rsidRPr="00D22F28">
        <w:rPr>
          <w:rFonts w:ascii="Tahoma" w:hAnsi="Tahoma" w:cs="Tahoma"/>
          <w:b/>
          <w:color w:val="0072A6"/>
        </w:rPr>
        <w:t>Commitment to the safe</w:t>
      </w:r>
      <w:r w:rsidR="000565D1">
        <w:rPr>
          <w:rFonts w:ascii="Tahoma" w:hAnsi="Tahoma" w:cs="Tahoma"/>
          <w:b/>
          <w:color w:val="0072A6"/>
        </w:rPr>
        <w:t xml:space="preserve">ty of </w:t>
      </w:r>
      <w:r w:rsidR="000565D1" w:rsidRPr="00FC6F65">
        <w:rPr>
          <w:rFonts w:ascii="Tahoma" w:hAnsi="Tahoma" w:cs="Tahoma"/>
          <w:b/>
          <w:color w:val="0072A6"/>
        </w:rPr>
        <w:t>children</w:t>
      </w:r>
      <w:r w:rsidR="000565D1">
        <w:rPr>
          <w:rFonts w:ascii="Tahoma" w:hAnsi="Tahoma" w:cs="Tahoma"/>
          <w:b/>
          <w:color w:val="0072A6"/>
        </w:rPr>
        <w:t xml:space="preserve"> and young people</w:t>
      </w:r>
    </w:p>
    <w:p w:rsidR="00900877" w:rsidRPr="00D22F28" w:rsidRDefault="00900877" w:rsidP="00900877">
      <w:pPr>
        <w:spacing w:after="240"/>
        <w:ind w:left="540"/>
        <w:jc w:val="both"/>
        <w:rPr>
          <w:rFonts w:ascii="Tahoma" w:hAnsi="Tahoma" w:cs="Tahoma"/>
        </w:rPr>
      </w:pPr>
      <w:r w:rsidRPr="00D22F28">
        <w:rPr>
          <w:rFonts w:ascii="Tahoma" w:hAnsi="Tahoma" w:cs="Tahoma"/>
        </w:rPr>
        <w:t>Children and young people are entitled to live in a caring and nurturing environment and to be protected from harm and exploitation. Children and young people should be safe, feel safe and be respected wherever they are. The Commissioner for Children and Young People prioritises the safety and wellbeing of children and young people in all work of the office and in our work with other organisations.</w:t>
      </w:r>
    </w:p>
    <w:p w:rsidR="00900877" w:rsidRDefault="00900877" w:rsidP="00900877">
      <w:pPr>
        <w:spacing w:after="240"/>
        <w:ind w:left="540"/>
        <w:jc w:val="both"/>
        <w:rPr>
          <w:rFonts w:ascii="Tahoma" w:hAnsi="Tahoma" w:cs="Tahoma"/>
        </w:rPr>
      </w:pPr>
      <w:r w:rsidRPr="00D22F28">
        <w:rPr>
          <w:rFonts w:ascii="Tahoma" w:hAnsi="Tahoma" w:cs="Tahoma"/>
        </w:rPr>
        <w:t>We have an ongoing cycle of assessment, action and reflection in place and regularly review, update and refine policies and practices to assess their effectiveness and strive for excellence. We involve children and young people and their families in developing and reviewing our work.</w:t>
      </w:r>
    </w:p>
    <w:p w:rsidR="00912DCF" w:rsidRPr="00912DCF" w:rsidRDefault="00912DCF" w:rsidP="00912DCF">
      <w:pPr>
        <w:spacing w:after="240"/>
        <w:ind w:left="540"/>
        <w:jc w:val="both"/>
        <w:rPr>
          <w:rFonts w:ascii="Tahoma" w:hAnsi="Tahoma" w:cs="Tahoma"/>
          <w:b/>
          <w:color w:val="0072A6"/>
        </w:rPr>
      </w:pPr>
      <w:r w:rsidRPr="00912DCF">
        <w:rPr>
          <w:rFonts w:ascii="Tahoma" w:hAnsi="Tahoma" w:cs="Tahoma"/>
          <w:b/>
          <w:color w:val="0072A6"/>
        </w:rPr>
        <w:t>Commitment to diversity:</w:t>
      </w:r>
    </w:p>
    <w:p w:rsidR="00912DCF" w:rsidRPr="00FC6F65" w:rsidRDefault="00912DCF" w:rsidP="00FC6F65">
      <w:pPr>
        <w:spacing w:after="240"/>
        <w:ind w:left="540"/>
        <w:jc w:val="both"/>
        <w:rPr>
          <w:rFonts w:ascii="Tahoma" w:hAnsi="Tahoma" w:cs="Tahoma"/>
        </w:rPr>
      </w:pPr>
      <w:r w:rsidRPr="00FC6F65">
        <w:rPr>
          <w:rFonts w:ascii="Tahoma" w:hAnsi="Tahoma" w:cs="Tahoma"/>
        </w:rPr>
        <w:t xml:space="preserve">The Office of the Commissioner for Children and Young People recognises, values and embraces the diversity of our Western Australian community, including our differences in culture, ethnicity, religious beliefs, sexuality, gender identity, age, abilities and life experiences. The organisation is committed to providing an inclusive and respectful workplace for all staff, and encourages applicants from a diverse range of backgrounds to apply for the role. </w:t>
      </w:r>
    </w:p>
    <w:p w:rsidR="002C3F68" w:rsidRPr="0002026C" w:rsidRDefault="002C3F68" w:rsidP="0002026C">
      <w:pPr>
        <w:spacing w:after="240"/>
        <w:ind w:left="540"/>
        <w:jc w:val="both"/>
        <w:rPr>
          <w:rFonts w:ascii="Tahoma" w:hAnsi="Tahoma" w:cs="Tahoma"/>
          <w:b/>
          <w:color w:val="0072A6"/>
        </w:rPr>
      </w:pPr>
      <w:r w:rsidRPr="0002026C">
        <w:rPr>
          <w:rFonts w:ascii="Tahoma" w:hAnsi="Tahoma" w:cs="Tahoma"/>
          <w:b/>
          <w:color w:val="0072A6"/>
        </w:rPr>
        <w:t>Job Description</w:t>
      </w:r>
    </w:p>
    <w:p w:rsidR="00FB75BC" w:rsidRPr="00D20315" w:rsidRDefault="00FB75BC" w:rsidP="00D20315">
      <w:pPr>
        <w:spacing w:after="240"/>
        <w:ind w:left="540"/>
        <w:jc w:val="both"/>
        <w:rPr>
          <w:rFonts w:ascii="Tahoma" w:hAnsi="Tahoma" w:cs="Tahoma"/>
        </w:rPr>
      </w:pPr>
      <w:r w:rsidRPr="00D20315">
        <w:rPr>
          <w:rFonts w:ascii="Tahoma" w:hAnsi="Tahoma" w:cs="Tahoma"/>
        </w:rPr>
        <w:t>This position affords an opportunity to work as part of a dynamic team providing support to the Commissioner for Children and Young People.  The position requires strong conceptual and analytical skills with a solid understanding of, and experience in, policy formulation in a public policy environment as well as team management whilst monitoring and advocating to strengthen the wellbeing of all WA children and young people.</w:t>
      </w:r>
    </w:p>
    <w:p w:rsidR="00FB75BC" w:rsidRPr="00D20315" w:rsidRDefault="00FB75BC" w:rsidP="00D20315">
      <w:pPr>
        <w:spacing w:after="240"/>
        <w:ind w:left="540"/>
        <w:jc w:val="both"/>
        <w:rPr>
          <w:rFonts w:ascii="Tahoma" w:hAnsi="Tahoma" w:cs="Tahoma"/>
        </w:rPr>
      </w:pPr>
      <w:r w:rsidRPr="00D20315">
        <w:rPr>
          <w:rFonts w:ascii="Tahoma" w:hAnsi="Tahoma" w:cs="Tahoma"/>
        </w:rPr>
        <w:t xml:space="preserve">The Manager – Wellbeing, Research and Data works as both part of a team undertaking high level research and policy development, and as a dynamic manager of staff to enable the Commissioner for Children and Young People to perform the functions set out under the Act.  The position requires demonstrated knowledge and skills in developing and undertaking research and the analysis of data to inform policy development. An understanding of issues and trends affecting the wellbeing of children and young people and a commitment to the advancement of the interests of all Western Australian children </w:t>
      </w:r>
      <w:r w:rsidRPr="00D20315">
        <w:rPr>
          <w:rFonts w:ascii="Tahoma" w:hAnsi="Tahoma" w:cs="Tahoma"/>
        </w:rPr>
        <w:lastRenderedPageBreak/>
        <w:t>and young people will be highly regarded.</w:t>
      </w:r>
    </w:p>
    <w:p w:rsidR="002C3F68" w:rsidRPr="0002026C" w:rsidRDefault="002C3F68" w:rsidP="0002026C">
      <w:pPr>
        <w:spacing w:after="240"/>
        <w:ind w:left="540"/>
        <w:jc w:val="both"/>
        <w:rPr>
          <w:rFonts w:ascii="Tahoma" w:hAnsi="Tahoma" w:cs="Tahoma"/>
          <w:b/>
          <w:color w:val="0072A6"/>
        </w:rPr>
      </w:pPr>
      <w:r w:rsidRPr="0002026C">
        <w:rPr>
          <w:rFonts w:ascii="Tahoma" w:hAnsi="Tahoma" w:cs="Tahoma"/>
          <w:b/>
          <w:color w:val="0072A6"/>
        </w:rPr>
        <w:t>Key Outcome</w:t>
      </w:r>
      <w:r w:rsidR="00FB75BC">
        <w:rPr>
          <w:rFonts w:ascii="Tahoma" w:hAnsi="Tahoma" w:cs="Tahoma"/>
          <w:b/>
          <w:color w:val="0072A6"/>
        </w:rPr>
        <w:t>s</w:t>
      </w:r>
    </w:p>
    <w:p w:rsidR="00FB75BC" w:rsidRPr="00FB75BC" w:rsidRDefault="00FB75BC" w:rsidP="00FB75BC">
      <w:pPr>
        <w:pStyle w:val="ListParagraph"/>
        <w:widowControl/>
        <w:numPr>
          <w:ilvl w:val="0"/>
          <w:numId w:val="6"/>
        </w:numPr>
        <w:tabs>
          <w:tab w:val="left" w:pos="720"/>
          <w:tab w:val="left" w:pos="1440"/>
          <w:tab w:val="left" w:pos="2160"/>
          <w:tab w:val="left" w:pos="2552"/>
          <w:tab w:val="left" w:pos="2880"/>
          <w:tab w:val="left" w:pos="3600"/>
          <w:tab w:val="left" w:pos="4320"/>
          <w:tab w:val="left" w:pos="5040"/>
        </w:tabs>
        <w:adjustRightInd w:val="0"/>
        <w:spacing w:after="200"/>
        <w:rPr>
          <w:rFonts w:ascii="Arial" w:eastAsiaTheme="minorHAnsi" w:hAnsi="Arial" w:cs="Arial"/>
          <w:lang w:val="en-AU"/>
        </w:rPr>
      </w:pPr>
      <w:r w:rsidRPr="00FB75BC">
        <w:rPr>
          <w:rFonts w:ascii="Arial" w:eastAsiaTheme="minorHAnsi" w:hAnsi="Arial" w:cs="Arial"/>
          <w:lang w:val="en-AU"/>
        </w:rPr>
        <w:t>Policies and projects are developed in accordance with the Commissioner for Children and Young People Act 2006 and the objectives in the Strategic Plan to meet the needs of children and young people.</w:t>
      </w:r>
    </w:p>
    <w:p w:rsidR="00FB75BC" w:rsidRDefault="00FB75BC" w:rsidP="00FB75BC">
      <w:pPr>
        <w:pStyle w:val="ListParagraph"/>
        <w:widowControl/>
        <w:numPr>
          <w:ilvl w:val="0"/>
          <w:numId w:val="6"/>
        </w:numPr>
        <w:tabs>
          <w:tab w:val="left" w:pos="720"/>
          <w:tab w:val="left" w:pos="1440"/>
          <w:tab w:val="left" w:pos="2160"/>
          <w:tab w:val="left" w:pos="2552"/>
          <w:tab w:val="left" w:pos="2880"/>
          <w:tab w:val="left" w:pos="3600"/>
          <w:tab w:val="left" w:pos="4320"/>
          <w:tab w:val="left" w:pos="5040"/>
        </w:tabs>
        <w:adjustRightInd w:val="0"/>
        <w:spacing w:after="200"/>
        <w:rPr>
          <w:rFonts w:ascii="Arial" w:eastAsiaTheme="minorHAnsi" w:hAnsi="Arial" w:cs="Arial"/>
          <w:lang w:val="en-AU"/>
        </w:rPr>
      </w:pPr>
      <w:r>
        <w:rPr>
          <w:rFonts w:ascii="Arial" w:eastAsiaTheme="minorHAnsi" w:hAnsi="Arial" w:cs="Arial"/>
          <w:lang w:val="en-AU"/>
        </w:rPr>
        <w:t>High level support and advice is provided to the Commissioner for Children and Young People.</w:t>
      </w:r>
    </w:p>
    <w:p w:rsidR="00FB75BC" w:rsidRDefault="00FB75BC" w:rsidP="00FB75BC">
      <w:pPr>
        <w:pStyle w:val="ListParagraph"/>
        <w:widowControl/>
        <w:numPr>
          <w:ilvl w:val="0"/>
          <w:numId w:val="6"/>
        </w:numPr>
        <w:tabs>
          <w:tab w:val="left" w:pos="720"/>
          <w:tab w:val="left" w:pos="1440"/>
          <w:tab w:val="left" w:pos="2160"/>
          <w:tab w:val="left" w:pos="2552"/>
          <w:tab w:val="left" w:pos="2880"/>
          <w:tab w:val="left" w:pos="3600"/>
          <w:tab w:val="left" w:pos="4320"/>
          <w:tab w:val="left" w:pos="5040"/>
        </w:tabs>
        <w:adjustRightInd w:val="0"/>
        <w:spacing w:after="200"/>
        <w:rPr>
          <w:rFonts w:ascii="Arial" w:eastAsiaTheme="minorHAnsi" w:hAnsi="Arial" w:cs="Arial"/>
          <w:lang w:val="en-AU"/>
        </w:rPr>
      </w:pPr>
      <w:r>
        <w:rPr>
          <w:rFonts w:ascii="Arial" w:eastAsiaTheme="minorHAnsi" w:hAnsi="Arial" w:cs="Arial"/>
          <w:lang w:val="en-AU"/>
        </w:rPr>
        <w:t>Research and data analysis processes are appropriately thorough to inform decisions and policy formulation</w:t>
      </w:r>
    </w:p>
    <w:p w:rsidR="00FB75BC" w:rsidRDefault="00FB75BC" w:rsidP="00FB75BC">
      <w:pPr>
        <w:pStyle w:val="ListParagraph"/>
        <w:widowControl/>
        <w:numPr>
          <w:ilvl w:val="0"/>
          <w:numId w:val="6"/>
        </w:numPr>
        <w:tabs>
          <w:tab w:val="left" w:pos="720"/>
          <w:tab w:val="left" w:pos="1440"/>
          <w:tab w:val="left" w:pos="2160"/>
          <w:tab w:val="left" w:pos="2552"/>
          <w:tab w:val="left" w:pos="2880"/>
          <w:tab w:val="left" w:pos="3600"/>
          <w:tab w:val="left" w:pos="4320"/>
          <w:tab w:val="left" w:pos="5040"/>
        </w:tabs>
        <w:adjustRightInd w:val="0"/>
        <w:spacing w:after="200"/>
        <w:rPr>
          <w:rFonts w:ascii="Arial" w:eastAsiaTheme="minorHAnsi" w:hAnsi="Arial" w:cs="Arial"/>
          <w:lang w:val="en-AU"/>
        </w:rPr>
      </w:pPr>
      <w:r>
        <w:rPr>
          <w:rFonts w:ascii="Arial" w:eastAsiaTheme="minorHAnsi" w:hAnsi="Arial" w:cs="Arial"/>
          <w:lang w:val="en-AU"/>
        </w:rPr>
        <w:t>Contribute to a positive work environment through strong human resource management and teamwork skills.</w:t>
      </w:r>
    </w:p>
    <w:p w:rsidR="00781539" w:rsidRPr="0002026C" w:rsidRDefault="00781539" w:rsidP="0002026C">
      <w:pPr>
        <w:spacing w:after="240"/>
        <w:ind w:left="540"/>
        <w:jc w:val="both"/>
        <w:rPr>
          <w:rFonts w:ascii="Tahoma" w:hAnsi="Tahoma" w:cs="Tahoma"/>
        </w:rPr>
      </w:pPr>
      <w:r w:rsidRPr="0002026C">
        <w:rPr>
          <w:rFonts w:ascii="Tahoma" w:hAnsi="Tahoma" w:cs="Tahoma"/>
        </w:rPr>
        <w:t xml:space="preserve">Applications will be assessed against the </w:t>
      </w:r>
      <w:r w:rsidR="00C92414">
        <w:rPr>
          <w:rFonts w:ascii="Tahoma" w:hAnsi="Tahoma" w:cs="Tahoma"/>
        </w:rPr>
        <w:t xml:space="preserve">selection criteria and </w:t>
      </w:r>
      <w:r w:rsidRPr="0002026C">
        <w:rPr>
          <w:rFonts w:ascii="Tahoma" w:hAnsi="Tahoma" w:cs="Tahoma"/>
        </w:rPr>
        <w:t>work related requirements of the position. The business needs of the branch may also be considered. It is therefore recommended that you consider all information contained in the advertisement and any other related information before applying for the vacancy.</w:t>
      </w:r>
    </w:p>
    <w:p w:rsidR="002C3F68" w:rsidRPr="0002026C" w:rsidRDefault="002C3F68" w:rsidP="0002026C">
      <w:pPr>
        <w:spacing w:after="240"/>
        <w:ind w:left="540"/>
        <w:jc w:val="both"/>
        <w:rPr>
          <w:rFonts w:ascii="Tahoma" w:hAnsi="Tahoma" w:cs="Tahoma"/>
          <w:b/>
          <w:color w:val="0072A6"/>
        </w:rPr>
      </w:pPr>
      <w:r w:rsidRPr="0002026C">
        <w:rPr>
          <w:rFonts w:ascii="Tahoma" w:hAnsi="Tahoma" w:cs="Tahoma"/>
          <w:b/>
          <w:color w:val="0072A6"/>
        </w:rPr>
        <w:t>Selection Criteria</w:t>
      </w:r>
    </w:p>
    <w:p w:rsidR="002C3F68" w:rsidRPr="0002026C" w:rsidRDefault="002C3F68" w:rsidP="0002026C">
      <w:pPr>
        <w:spacing w:after="240"/>
        <w:ind w:left="540"/>
        <w:jc w:val="both"/>
        <w:rPr>
          <w:rFonts w:ascii="Tahoma" w:hAnsi="Tahoma" w:cs="Tahoma"/>
        </w:rPr>
      </w:pPr>
      <w:r w:rsidRPr="0002026C">
        <w:rPr>
          <w:rFonts w:ascii="Tahoma" w:hAnsi="Tahoma" w:cs="Tahoma"/>
        </w:rPr>
        <w:t>Please refer to JDF attached.</w:t>
      </w:r>
    </w:p>
    <w:p w:rsidR="002C3F68" w:rsidRPr="0002026C" w:rsidRDefault="004D0FD5" w:rsidP="0002026C">
      <w:pPr>
        <w:spacing w:after="240"/>
        <w:ind w:left="540"/>
        <w:jc w:val="both"/>
        <w:rPr>
          <w:rFonts w:ascii="Tahoma" w:hAnsi="Tahoma" w:cs="Tahoma"/>
          <w:b/>
          <w:color w:val="0072A6"/>
        </w:rPr>
      </w:pPr>
      <w:r w:rsidRPr="0002026C">
        <w:rPr>
          <w:rFonts w:ascii="Tahoma" w:hAnsi="Tahoma" w:cs="Tahoma"/>
          <w:b/>
          <w:color w:val="0072A6"/>
        </w:rPr>
        <w:t>Find our more</w:t>
      </w:r>
    </w:p>
    <w:p w:rsidR="002C3F68" w:rsidRPr="0002026C" w:rsidRDefault="004D0FD5" w:rsidP="0002026C">
      <w:pPr>
        <w:spacing w:after="240"/>
        <w:ind w:left="540"/>
        <w:jc w:val="both"/>
        <w:rPr>
          <w:rFonts w:ascii="Tahoma" w:hAnsi="Tahoma" w:cs="Tahoma"/>
        </w:rPr>
      </w:pPr>
      <w:r w:rsidRPr="0002026C">
        <w:rPr>
          <w:rFonts w:ascii="Tahoma" w:hAnsi="Tahoma" w:cs="Tahoma"/>
        </w:rPr>
        <w:t>If you are interested in the position and would</w:t>
      </w:r>
      <w:r w:rsidR="002C3F68" w:rsidRPr="0002026C">
        <w:rPr>
          <w:rFonts w:ascii="Tahoma" w:hAnsi="Tahoma" w:cs="Tahoma"/>
        </w:rPr>
        <w:t xml:space="preserve"> </w:t>
      </w:r>
      <w:r w:rsidR="00B90D89">
        <w:rPr>
          <w:rFonts w:ascii="Tahoma" w:hAnsi="Tahoma" w:cs="Tahoma"/>
        </w:rPr>
        <w:t xml:space="preserve">like </w:t>
      </w:r>
      <w:r w:rsidR="002C3F68" w:rsidRPr="0002026C">
        <w:rPr>
          <w:rFonts w:ascii="Tahoma" w:hAnsi="Tahoma" w:cs="Tahoma"/>
        </w:rPr>
        <w:t xml:space="preserve">further information about the </w:t>
      </w:r>
      <w:r w:rsidRPr="0002026C">
        <w:rPr>
          <w:rFonts w:ascii="Tahoma" w:hAnsi="Tahoma" w:cs="Tahoma"/>
        </w:rPr>
        <w:t>role</w:t>
      </w:r>
      <w:r w:rsidR="002C3F68" w:rsidRPr="0002026C">
        <w:rPr>
          <w:rFonts w:ascii="Tahoma" w:hAnsi="Tahoma" w:cs="Tahoma"/>
        </w:rPr>
        <w:t xml:space="preserve">, please contact </w:t>
      </w:r>
      <w:r w:rsidR="00E73BA9">
        <w:rPr>
          <w:rFonts w:ascii="Tahoma" w:hAnsi="Tahoma" w:cs="Tahoma"/>
        </w:rPr>
        <w:t>Trish Heath</w:t>
      </w:r>
      <w:r w:rsidR="00DB1940" w:rsidRPr="0002026C">
        <w:rPr>
          <w:rFonts w:ascii="Tahoma" w:hAnsi="Tahoma" w:cs="Tahoma"/>
        </w:rPr>
        <w:t xml:space="preserve">, </w:t>
      </w:r>
      <w:r w:rsidR="00E73BA9">
        <w:rPr>
          <w:rFonts w:ascii="Tahoma" w:hAnsi="Tahoma" w:cs="Tahoma"/>
        </w:rPr>
        <w:t>Director Policy and Research</w:t>
      </w:r>
      <w:r w:rsidR="00DB1940" w:rsidRPr="0002026C">
        <w:rPr>
          <w:rFonts w:ascii="Tahoma" w:hAnsi="Tahoma" w:cs="Tahoma"/>
        </w:rPr>
        <w:t xml:space="preserve"> </w:t>
      </w:r>
      <w:r w:rsidR="002C3F68" w:rsidRPr="0002026C">
        <w:rPr>
          <w:rFonts w:ascii="Tahoma" w:hAnsi="Tahoma" w:cs="Tahoma"/>
        </w:rPr>
        <w:t>on 6213 22</w:t>
      </w:r>
      <w:r w:rsidR="00E73BA9">
        <w:rPr>
          <w:rFonts w:ascii="Tahoma" w:hAnsi="Tahoma" w:cs="Tahoma"/>
        </w:rPr>
        <w:t>9</w:t>
      </w:r>
      <w:r w:rsidR="00DB1940" w:rsidRPr="0002026C">
        <w:rPr>
          <w:rFonts w:ascii="Tahoma" w:hAnsi="Tahoma" w:cs="Tahoma"/>
        </w:rPr>
        <w:t>7</w:t>
      </w:r>
      <w:r w:rsidR="002C3F68" w:rsidRPr="0002026C">
        <w:rPr>
          <w:rFonts w:ascii="Tahoma" w:hAnsi="Tahoma" w:cs="Tahoma"/>
        </w:rPr>
        <w:t xml:space="preserve"> (not to be contacted for Applicant Information Packs or assistance with lodging your application).</w:t>
      </w:r>
    </w:p>
    <w:p w:rsidR="002C3F68" w:rsidRPr="0002026C" w:rsidRDefault="002C3F68" w:rsidP="0002026C">
      <w:pPr>
        <w:spacing w:after="240"/>
        <w:ind w:left="540"/>
        <w:jc w:val="both"/>
        <w:rPr>
          <w:rFonts w:ascii="Tahoma" w:hAnsi="Tahoma" w:cs="Tahoma"/>
          <w:b/>
          <w:color w:val="0072A6"/>
        </w:rPr>
      </w:pPr>
      <w:r w:rsidRPr="0002026C">
        <w:rPr>
          <w:rFonts w:ascii="Tahoma" w:hAnsi="Tahoma" w:cs="Tahoma"/>
          <w:b/>
          <w:color w:val="0072A6"/>
        </w:rPr>
        <w:t>Application Instructions</w:t>
      </w:r>
    </w:p>
    <w:p w:rsidR="002C3F68" w:rsidRPr="0002026C" w:rsidRDefault="002C3F68" w:rsidP="0002026C">
      <w:pPr>
        <w:spacing w:after="240"/>
        <w:ind w:left="540"/>
        <w:jc w:val="both"/>
        <w:rPr>
          <w:rFonts w:ascii="Tahoma" w:hAnsi="Tahoma" w:cs="Tahoma"/>
        </w:rPr>
      </w:pPr>
      <w:r w:rsidRPr="0002026C">
        <w:rPr>
          <w:rFonts w:ascii="Tahoma" w:hAnsi="Tahoma" w:cs="Tahoma"/>
        </w:rPr>
        <w:t xml:space="preserve">Interested applicants should submit a </w:t>
      </w:r>
      <w:r w:rsidR="00805939" w:rsidRPr="001D7B12">
        <w:rPr>
          <w:rFonts w:ascii="Tahoma" w:hAnsi="Tahoma" w:cs="Tahoma"/>
        </w:rPr>
        <w:t xml:space="preserve">three (3) to five (5) page statement addressing </w:t>
      </w:r>
      <w:r w:rsidR="00805939" w:rsidRPr="00EE002A">
        <w:rPr>
          <w:rFonts w:ascii="Tahoma" w:hAnsi="Tahoma" w:cs="Tahoma"/>
          <w:b/>
        </w:rPr>
        <w:t>the selection criteria, in the context of the role and business needs of the office</w:t>
      </w:r>
      <w:r w:rsidRPr="0002026C">
        <w:rPr>
          <w:rFonts w:ascii="Tahoma" w:hAnsi="Tahoma" w:cs="Tahoma"/>
        </w:rPr>
        <w:t xml:space="preserve"> and </w:t>
      </w:r>
      <w:r w:rsidR="00805939">
        <w:rPr>
          <w:rFonts w:ascii="Tahoma" w:hAnsi="Tahoma" w:cs="Tahoma"/>
        </w:rPr>
        <w:t xml:space="preserve">a </w:t>
      </w:r>
      <w:r w:rsidRPr="0002026C">
        <w:rPr>
          <w:rFonts w:ascii="Tahoma" w:hAnsi="Tahoma" w:cs="Tahoma"/>
        </w:rPr>
        <w:t>comprehensive CV with at least two referees</w:t>
      </w:r>
      <w:r w:rsidR="00C92414">
        <w:rPr>
          <w:rFonts w:ascii="Tahoma" w:hAnsi="Tahoma" w:cs="Tahoma"/>
        </w:rPr>
        <w:t xml:space="preserve">.  </w:t>
      </w:r>
    </w:p>
    <w:p w:rsidR="002C3F68" w:rsidRPr="0002026C" w:rsidRDefault="002C3F68" w:rsidP="0002026C">
      <w:pPr>
        <w:spacing w:after="240"/>
        <w:ind w:left="540"/>
        <w:jc w:val="both"/>
        <w:rPr>
          <w:rFonts w:ascii="Tahoma" w:hAnsi="Tahoma" w:cs="Tahoma"/>
        </w:rPr>
      </w:pPr>
      <w:r w:rsidRPr="0002026C">
        <w:rPr>
          <w:rFonts w:ascii="Tahoma" w:hAnsi="Tahoma" w:cs="Tahoma"/>
        </w:rPr>
        <w:t>Please refer to the Applicant Information Pack and Job Description Form for full position details as these documents will assist you with the preparation of your application.</w:t>
      </w:r>
    </w:p>
    <w:p w:rsidR="002C3F68" w:rsidRPr="0002026C" w:rsidRDefault="002C3F68" w:rsidP="0002026C">
      <w:pPr>
        <w:spacing w:after="240"/>
        <w:ind w:left="540"/>
        <w:jc w:val="both"/>
        <w:rPr>
          <w:rFonts w:ascii="Tahoma" w:hAnsi="Tahoma" w:cs="Tahoma"/>
        </w:rPr>
      </w:pPr>
      <w:r w:rsidRPr="0002026C">
        <w:rPr>
          <w:rFonts w:ascii="Tahoma" w:hAnsi="Tahoma" w:cs="Tahoma"/>
        </w:rPr>
        <w:t xml:space="preserve">If you experience difficulties downloading these documents, please call </w:t>
      </w:r>
      <w:r w:rsidR="0002026C">
        <w:rPr>
          <w:rFonts w:ascii="Tahoma" w:hAnsi="Tahoma" w:cs="Tahoma"/>
        </w:rPr>
        <w:t>the Corporate Services Officer</w:t>
      </w:r>
      <w:r w:rsidRPr="0002026C">
        <w:rPr>
          <w:rFonts w:ascii="Tahoma" w:hAnsi="Tahoma" w:cs="Tahoma"/>
        </w:rPr>
        <w:t xml:space="preserve"> on (08) 6213 22</w:t>
      </w:r>
      <w:r w:rsidR="00DB1940" w:rsidRPr="0002026C">
        <w:rPr>
          <w:rFonts w:ascii="Tahoma" w:hAnsi="Tahoma" w:cs="Tahoma"/>
        </w:rPr>
        <w:t>97</w:t>
      </w:r>
      <w:r w:rsidRPr="0002026C">
        <w:rPr>
          <w:rFonts w:ascii="Tahoma" w:hAnsi="Tahoma" w:cs="Tahoma"/>
        </w:rPr>
        <w:t>.</w:t>
      </w:r>
    </w:p>
    <w:p w:rsidR="002C3F68" w:rsidRDefault="002C3F68" w:rsidP="0002026C">
      <w:pPr>
        <w:spacing w:after="240"/>
        <w:ind w:left="540"/>
        <w:jc w:val="both"/>
      </w:pPr>
      <w:r w:rsidRPr="0002026C">
        <w:rPr>
          <w:rFonts w:ascii="Tahoma" w:hAnsi="Tahoma" w:cs="Tahoma"/>
        </w:rPr>
        <w:t>Applications should be lodged via</w:t>
      </w:r>
      <w:r>
        <w:t xml:space="preserve"> </w:t>
      </w:r>
      <w:hyperlink r:id="rId8">
        <w:r>
          <w:rPr>
            <w:color w:val="0000FF"/>
            <w:u w:val="single" w:color="0000FF"/>
          </w:rPr>
          <w:t>www.jobs.wa.gov.au</w:t>
        </w:r>
        <w:r>
          <w:t>.</w:t>
        </w:r>
      </w:hyperlink>
    </w:p>
    <w:p w:rsidR="002C3F68" w:rsidRPr="0002026C" w:rsidRDefault="002C3F68" w:rsidP="0002026C">
      <w:pPr>
        <w:spacing w:after="240"/>
        <w:ind w:left="540"/>
        <w:jc w:val="both"/>
        <w:rPr>
          <w:rFonts w:ascii="Tahoma" w:hAnsi="Tahoma" w:cs="Tahoma"/>
        </w:rPr>
      </w:pPr>
      <w:r w:rsidRPr="0002026C">
        <w:rPr>
          <w:rFonts w:ascii="Tahoma" w:hAnsi="Tahoma" w:cs="Tahoma"/>
        </w:rPr>
        <w:t>When you are ready to lodge your application, please check to ensure that you have completed the attached:</w:t>
      </w:r>
    </w:p>
    <w:p w:rsidR="002C3F68" w:rsidRPr="0002026C" w:rsidRDefault="002C3F68" w:rsidP="000565D1">
      <w:pPr>
        <w:pStyle w:val="ListParagraph"/>
        <w:numPr>
          <w:ilvl w:val="0"/>
          <w:numId w:val="4"/>
        </w:numPr>
        <w:ind w:left="851" w:hanging="284"/>
        <w:jc w:val="both"/>
        <w:rPr>
          <w:rFonts w:ascii="Tahoma" w:hAnsi="Tahoma" w:cs="Tahoma"/>
        </w:rPr>
      </w:pPr>
      <w:r w:rsidRPr="0002026C">
        <w:rPr>
          <w:rFonts w:ascii="Tahoma" w:hAnsi="Tahoma" w:cs="Tahoma"/>
        </w:rPr>
        <w:t>Application Form</w:t>
      </w:r>
    </w:p>
    <w:p w:rsidR="00D20315" w:rsidRPr="00D20315" w:rsidRDefault="002C3F68" w:rsidP="00D20315">
      <w:pPr>
        <w:pStyle w:val="ListParagraph"/>
        <w:numPr>
          <w:ilvl w:val="0"/>
          <w:numId w:val="4"/>
        </w:numPr>
        <w:ind w:left="851" w:hanging="284"/>
        <w:jc w:val="both"/>
        <w:rPr>
          <w:rFonts w:ascii="Tahoma" w:hAnsi="Tahoma" w:cs="Tahoma"/>
        </w:rPr>
      </w:pPr>
      <w:r w:rsidRPr="00D20315">
        <w:rPr>
          <w:rFonts w:ascii="Tahoma" w:hAnsi="Tahoma" w:cs="Tahoma"/>
        </w:rPr>
        <w:t>Prepared your application as stated in the "Work Related Requirements" section</w:t>
      </w:r>
    </w:p>
    <w:p w:rsidR="002C3F68" w:rsidRPr="0002026C" w:rsidRDefault="002C3F68" w:rsidP="00D20315">
      <w:pPr>
        <w:spacing w:before="240" w:after="240"/>
        <w:ind w:left="540"/>
        <w:jc w:val="both"/>
        <w:rPr>
          <w:rFonts w:ascii="Tahoma" w:hAnsi="Tahoma" w:cs="Tahoma"/>
        </w:rPr>
      </w:pPr>
      <w:r w:rsidRPr="0002026C">
        <w:rPr>
          <w:rFonts w:ascii="Tahoma" w:hAnsi="Tahoma" w:cs="Tahoma"/>
        </w:rPr>
        <w:t>Please ensure you have plenty of time to submit your application to allow for unanticipated problems, as late and proforma applications will not be accepted.</w:t>
      </w:r>
    </w:p>
    <w:p w:rsidR="004D0FD5" w:rsidRPr="0002026C" w:rsidRDefault="004D0FD5" w:rsidP="0002026C">
      <w:pPr>
        <w:spacing w:after="240"/>
        <w:ind w:left="540"/>
        <w:jc w:val="both"/>
        <w:rPr>
          <w:rFonts w:ascii="Tahoma" w:hAnsi="Tahoma" w:cs="Tahoma"/>
          <w:b/>
          <w:color w:val="0072A6"/>
        </w:rPr>
      </w:pPr>
      <w:r w:rsidRPr="0002026C">
        <w:rPr>
          <w:rFonts w:ascii="Tahoma" w:hAnsi="Tahoma" w:cs="Tahoma"/>
          <w:b/>
          <w:color w:val="0072A6"/>
        </w:rPr>
        <w:t>Additional information</w:t>
      </w:r>
    </w:p>
    <w:p w:rsidR="001777B1" w:rsidRPr="0002026C" w:rsidRDefault="001777B1" w:rsidP="0002026C">
      <w:pPr>
        <w:spacing w:after="240"/>
        <w:ind w:left="540"/>
        <w:jc w:val="both"/>
        <w:rPr>
          <w:rFonts w:ascii="Tahoma" w:hAnsi="Tahoma" w:cs="Tahoma"/>
          <w:i/>
          <w:iCs/>
        </w:rPr>
      </w:pPr>
      <w:r w:rsidRPr="0002026C">
        <w:rPr>
          <w:rFonts w:ascii="Tahoma" w:hAnsi="Tahoma" w:cs="Tahoma"/>
          <w:i/>
          <w:iCs/>
        </w:rPr>
        <w:t>This se</w:t>
      </w:r>
      <w:r w:rsidR="000565D1">
        <w:rPr>
          <w:rFonts w:ascii="Tahoma" w:hAnsi="Tahoma" w:cs="Tahoma"/>
          <w:i/>
          <w:iCs/>
        </w:rPr>
        <w:t>le</w:t>
      </w:r>
      <w:r w:rsidRPr="0002026C">
        <w:rPr>
          <w:rFonts w:ascii="Tahoma" w:hAnsi="Tahoma" w:cs="Tahoma"/>
          <w:i/>
          <w:iCs/>
        </w:rPr>
        <w:t xml:space="preserve">ction process will initially be used to fill the above vacancy. Applicants assessed as suitable during this selection process may be considered for other similar vacancies that occur throughout our </w:t>
      </w:r>
      <w:r w:rsidR="00C92414">
        <w:rPr>
          <w:rFonts w:ascii="Tahoma" w:hAnsi="Tahoma" w:cs="Tahoma"/>
          <w:i/>
          <w:iCs/>
        </w:rPr>
        <w:t>agency</w:t>
      </w:r>
      <w:r w:rsidRPr="0002026C">
        <w:rPr>
          <w:rFonts w:ascii="Tahoma" w:hAnsi="Tahoma" w:cs="Tahoma"/>
          <w:i/>
          <w:iCs/>
        </w:rPr>
        <w:t xml:space="preserve"> for up to 12 months following this initial appointment. This includes circumstances where this position becomes subsequently vacant should the </w:t>
      </w:r>
      <w:r w:rsidRPr="0002026C">
        <w:rPr>
          <w:rFonts w:ascii="Tahoma" w:hAnsi="Tahoma" w:cs="Tahoma"/>
          <w:i/>
          <w:iCs/>
        </w:rPr>
        <w:lastRenderedPageBreak/>
        <w:t xml:space="preserve">successful applicant decline or vacate the advertised position.  </w:t>
      </w:r>
    </w:p>
    <w:p w:rsidR="004D0FD5" w:rsidRPr="0002026C" w:rsidRDefault="001777B1" w:rsidP="0002026C">
      <w:pPr>
        <w:spacing w:after="240"/>
        <w:ind w:left="540"/>
        <w:jc w:val="both"/>
        <w:rPr>
          <w:rFonts w:ascii="Tahoma" w:hAnsi="Tahoma" w:cs="Tahoma"/>
        </w:rPr>
      </w:pPr>
      <w:r w:rsidRPr="0002026C">
        <w:rPr>
          <w:rFonts w:ascii="Tahoma" w:hAnsi="Tahoma" w:cs="Tahoma"/>
          <w:i/>
          <w:iCs/>
        </w:rPr>
        <w:t>The Commissioner for Children and Young People is an equal opportunity employer and encourages people with disability, Aboriginal and Torres Strait Islander people and persons from culturally diverse backgrounds to apply.</w:t>
      </w:r>
    </w:p>
    <w:p w:rsidR="002C3F68" w:rsidRDefault="002C3F68" w:rsidP="0002026C">
      <w:pPr>
        <w:spacing w:after="240"/>
        <w:ind w:left="540"/>
        <w:jc w:val="both"/>
        <w:rPr>
          <w:rFonts w:ascii="Tahoma" w:hAnsi="Tahoma" w:cs="Tahoma"/>
        </w:rPr>
      </w:pPr>
      <w:r w:rsidRPr="0002026C">
        <w:rPr>
          <w:rFonts w:ascii="Tahoma" w:hAnsi="Tahoma" w:cs="Tahoma"/>
        </w:rPr>
        <w:t xml:space="preserve">CLOSING DATE </w:t>
      </w:r>
      <w:r w:rsidR="001F74AD">
        <w:rPr>
          <w:rFonts w:ascii="Tahoma" w:hAnsi="Tahoma" w:cs="Tahoma"/>
        </w:rPr>
        <w:t>–</w:t>
      </w:r>
      <w:r w:rsidRPr="0002026C">
        <w:rPr>
          <w:rFonts w:ascii="Tahoma" w:hAnsi="Tahoma" w:cs="Tahoma"/>
        </w:rPr>
        <w:t xml:space="preserve"> </w:t>
      </w:r>
      <w:r w:rsidR="001F74AD">
        <w:rPr>
          <w:rFonts w:ascii="Tahoma" w:hAnsi="Tahoma" w:cs="Tahoma"/>
        </w:rPr>
        <w:t xml:space="preserve">4.00pm Monday </w:t>
      </w:r>
      <w:r w:rsidR="001B66B5">
        <w:rPr>
          <w:rFonts w:ascii="Tahoma" w:hAnsi="Tahoma" w:cs="Tahoma"/>
        </w:rPr>
        <w:t>22</w:t>
      </w:r>
      <w:bookmarkStart w:id="0" w:name="_GoBack"/>
      <w:bookmarkEnd w:id="0"/>
      <w:r w:rsidR="00C92414">
        <w:rPr>
          <w:rFonts w:ascii="Tahoma" w:hAnsi="Tahoma" w:cs="Tahoma"/>
        </w:rPr>
        <w:t xml:space="preserve"> July</w:t>
      </w:r>
      <w:r w:rsidR="001F74AD">
        <w:rPr>
          <w:rFonts w:ascii="Tahoma" w:hAnsi="Tahoma" w:cs="Tahoma"/>
        </w:rPr>
        <w:t xml:space="preserve"> 2019</w:t>
      </w:r>
    </w:p>
    <w:p w:rsidR="00B460D1" w:rsidRPr="00B460D1" w:rsidRDefault="00B460D1" w:rsidP="0002026C">
      <w:pPr>
        <w:spacing w:after="240"/>
        <w:ind w:left="540"/>
        <w:jc w:val="both"/>
        <w:rPr>
          <w:rFonts w:ascii="Tahoma" w:hAnsi="Tahoma" w:cs="Tahoma"/>
          <w:sz w:val="16"/>
          <w:szCs w:val="16"/>
        </w:rPr>
      </w:pPr>
      <w:r w:rsidRPr="00B460D1">
        <w:rPr>
          <w:rFonts w:ascii="Tahoma" w:hAnsi="Tahoma" w:cs="Tahoma"/>
          <w:sz w:val="16"/>
          <w:szCs w:val="16"/>
        </w:rPr>
        <w:t>(19/3757)</w:t>
      </w:r>
    </w:p>
    <w:sectPr w:rsidR="00B460D1" w:rsidRPr="00B460D1" w:rsidSect="004D0FD5">
      <w:headerReference w:type="default" r:id="rId9"/>
      <w:footerReference w:type="default" r:id="rId10"/>
      <w:pgSz w:w="11900" w:h="16840"/>
      <w:pgMar w:top="980" w:right="1580" w:bottom="280" w:left="1260" w:header="0" w:footer="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39" w:rsidRDefault="00781539" w:rsidP="00781539">
      <w:r>
        <w:separator/>
      </w:r>
    </w:p>
  </w:endnote>
  <w:endnote w:type="continuationSeparator" w:id="0">
    <w:p w:rsidR="00781539" w:rsidRDefault="00781539" w:rsidP="0078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AD" w:rsidRDefault="001B66B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39" w:rsidRDefault="00781539" w:rsidP="00781539">
      <w:r>
        <w:separator/>
      </w:r>
    </w:p>
  </w:footnote>
  <w:footnote w:type="continuationSeparator" w:id="0">
    <w:p w:rsidR="00781539" w:rsidRDefault="00781539" w:rsidP="0078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AD" w:rsidRDefault="002C3F68">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673100</wp:posOffset>
              </wp:positionH>
              <wp:positionV relativeFrom="page">
                <wp:posOffset>-12700</wp:posOffset>
              </wp:positionV>
              <wp:extent cx="5326380" cy="19431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AD" w:rsidRDefault="001B66B5">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pt;margin-top:-1pt;width:419.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xrQ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" filled="f" stroked="f">
              <v:textbox inset="0,0,0,0">
                <w:txbxContent>
                  <w:p w:rsidR="003347AD" w:rsidRDefault="00CA4F1C">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26D5"/>
    <w:multiLevelType w:val="hybridMultilevel"/>
    <w:tmpl w:val="FD58A96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15:restartNumberingAfterBreak="0">
    <w:nsid w:val="3C886A20"/>
    <w:multiLevelType w:val="hybridMultilevel"/>
    <w:tmpl w:val="3CE0D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F9846BD"/>
    <w:multiLevelType w:val="hybridMultilevel"/>
    <w:tmpl w:val="262CCB66"/>
    <w:lvl w:ilvl="0" w:tplc="881AAF68">
      <w:numFmt w:val="bullet"/>
      <w:lvlText w:val="•"/>
      <w:lvlJc w:val="left"/>
      <w:pPr>
        <w:ind w:left="655" w:hanging="197"/>
      </w:pPr>
      <w:rPr>
        <w:rFonts w:ascii="Verdana" w:eastAsia="Verdana" w:hAnsi="Verdana" w:cs="Verdana" w:hint="default"/>
        <w:w w:val="101"/>
        <w:sz w:val="16"/>
        <w:szCs w:val="16"/>
      </w:rPr>
    </w:lvl>
    <w:lvl w:ilvl="1" w:tplc="A82E80E2">
      <w:numFmt w:val="bullet"/>
      <w:lvlText w:val="•"/>
      <w:lvlJc w:val="left"/>
      <w:pPr>
        <w:ind w:left="1500" w:hanging="197"/>
      </w:pPr>
      <w:rPr>
        <w:rFonts w:hint="default"/>
      </w:rPr>
    </w:lvl>
    <w:lvl w:ilvl="2" w:tplc="D4264918">
      <w:numFmt w:val="bullet"/>
      <w:lvlText w:val="•"/>
      <w:lvlJc w:val="left"/>
      <w:pPr>
        <w:ind w:left="2340" w:hanging="197"/>
      </w:pPr>
      <w:rPr>
        <w:rFonts w:hint="default"/>
      </w:rPr>
    </w:lvl>
    <w:lvl w:ilvl="3" w:tplc="835E4C6E">
      <w:numFmt w:val="bullet"/>
      <w:lvlText w:val="•"/>
      <w:lvlJc w:val="left"/>
      <w:pPr>
        <w:ind w:left="3180" w:hanging="197"/>
      </w:pPr>
      <w:rPr>
        <w:rFonts w:hint="default"/>
      </w:rPr>
    </w:lvl>
    <w:lvl w:ilvl="4" w:tplc="9808F738">
      <w:numFmt w:val="bullet"/>
      <w:lvlText w:val="•"/>
      <w:lvlJc w:val="left"/>
      <w:pPr>
        <w:ind w:left="4020" w:hanging="197"/>
      </w:pPr>
      <w:rPr>
        <w:rFonts w:hint="default"/>
      </w:rPr>
    </w:lvl>
    <w:lvl w:ilvl="5" w:tplc="E16EC3DE">
      <w:numFmt w:val="bullet"/>
      <w:lvlText w:val="•"/>
      <w:lvlJc w:val="left"/>
      <w:pPr>
        <w:ind w:left="4860" w:hanging="197"/>
      </w:pPr>
      <w:rPr>
        <w:rFonts w:hint="default"/>
      </w:rPr>
    </w:lvl>
    <w:lvl w:ilvl="6" w:tplc="9A5E7BA6">
      <w:numFmt w:val="bullet"/>
      <w:lvlText w:val="•"/>
      <w:lvlJc w:val="left"/>
      <w:pPr>
        <w:ind w:left="5700" w:hanging="197"/>
      </w:pPr>
      <w:rPr>
        <w:rFonts w:hint="default"/>
      </w:rPr>
    </w:lvl>
    <w:lvl w:ilvl="7" w:tplc="1A3011CE">
      <w:numFmt w:val="bullet"/>
      <w:lvlText w:val="•"/>
      <w:lvlJc w:val="left"/>
      <w:pPr>
        <w:ind w:left="6540" w:hanging="197"/>
      </w:pPr>
      <w:rPr>
        <w:rFonts w:hint="default"/>
      </w:rPr>
    </w:lvl>
    <w:lvl w:ilvl="8" w:tplc="6FA6D04C">
      <w:numFmt w:val="bullet"/>
      <w:lvlText w:val="•"/>
      <w:lvlJc w:val="left"/>
      <w:pPr>
        <w:ind w:left="7380" w:hanging="197"/>
      </w:pPr>
      <w:rPr>
        <w:rFonts w:hint="default"/>
      </w:rPr>
    </w:lvl>
  </w:abstractNum>
  <w:abstractNum w:abstractNumId="3" w15:restartNumberingAfterBreak="0">
    <w:nsid w:val="51F57A1A"/>
    <w:multiLevelType w:val="hybridMultilevel"/>
    <w:tmpl w:val="2A381D52"/>
    <w:lvl w:ilvl="0" w:tplc="1C80B776">
      <w:numFmt w:val="bullet"/>
      <w:lvlText w:val="-"/>
      <w:lvlJc w:val="left"/>
      <w:pPr>
        <w:ind w:left="247" w:hanging="132"/>
      </w:pPr>
      <w:rPr>
        <w:rFonts w:ascii="Verdana" w:eastAsia="Verdana" w:hAnsi="Verdana" w:cs="Verdana" w:hint="default"/>
        <w:w w:val="101"/>
        <w:sz w:val="16"/>
        <w:szCs w:val="16"/>
      </w:rPr>
    </w:lvl>
    <w:lvl w:ilvl="1" w:tplc="B588BF18">
      <w:numFmt w:val="bullet"/>
      <w:lvlText w:val="•"/>
      <w:lvlJc w:val="left"/>
      <w:pPr>
        <w:ind w:left="1122" w:hanging="132"/>
      </w:pPr>
      <w:rPr>
        <w:rFonts w:hint="default"/>
      </w:rPr>
    </w:lvl>
    <w:lvl w:ilvl="2" w:tplc="AAFAD5EE">
      <w:numFmt w:val="bullet"/>
      <w:lvlText w:val="•"/>
      <w:lvlJc w:val="left"/>
      <w:pPr>
        <w:ind w:left="2004" w:hanging="132"/>
      </w:pPr>
      <w:rPr>
        <w:rFonts w:hint="default"/>
      </w:rPr>
    </w:lvl>
    <w:lvl w:ilvl="3" w:tplc="C2D644C2">
      <w:numFmt w:val="bullet"/>
      <w:lvlText w:val="•"/>
      <w:lvlJc w:val="left"/>
      <w:pPr>
        <w:ind w:left="2886" w:hanging="132"/>
      </w:pPr>
      <w:rPr>
        <w:rFonts w:hint="default"/>
      </w:rPr>
    </w:lvl>
    <w:lvl w:ilvl="4" w:tplc="22D0CEC6">
      <w:numFmt w:val="bullet"/>
      <w:lvlText w:val="•"/>
      <w:lvlJc w:val="left"/>
      <w:pPr>
        <w:ind w:left="3768" w:hanging="132"/>
      </w:pPr>
      <w:rPr>
        <w:rFonts w:hint="default"/>
      </w:rPr>
    </w:lvl>
    <w:lvl w:ilvl="5" w:tplc="411C2B38">
      <w:numFmt w:val="bullet"/>
      <w:lvlText w:val="•"/>
      <w:lvlJc w:val="left"/>
      <w:pPr>
        <w:ind w:left="4650" w:hanging="132"/>
      </w:pPr>
      <w:rPr>
        <w:rFonts w:hint="default"/>
      </w:rPr>
    </w:lvl>
    <w:lvl w:ilvl="6" w:tplc="7862A6F4">
      <w:numFmt w:val="bullet"/>
      <w:lvlText w:val="•"/>
      <w:lvlJc w:val="left"/>
      <w:pPr>
        <w:ind w:left="5532" w:hanging="132"/>
      </w:pPr>
      <w:rPr>
        <w:rFonts w:hint="default"/>
      </w:rPr>
    </w:lvl>
    <w:lvl w:ilvl="7" w:tplc="70280EEA">
      <w:numFmt w:val="bullet"/>
      <w:lvlText w:val="•"/>
      <w:lvlJc w:val="left"/>
      <w:pPr>
        <w:ind w:left="6414" w:hanging="132"/>
      </w:pPr>
      <w:rPr>
        <w:rFonts w:hint="default"/>
      </w:rPr>
    </w:lvl>
    <w:lvl w:ilvl="8" w:tplc="9028EE54">
      <w:numFmt w:val="bullet"/>
      <w:lvlText w:val="•"/>
      <w:lvlJc w:val="left"/>
      <w:pPr>
        <w:ind w:left="7296" w:hanging="132"/>
      </w:pPr>
      <w:rPr>
        <w:rFonts w:hint="default"/>
      </w:rPr>
    </w:lvl>
  </w:abstractNum>
  <w:abstractNum w:abstractNumId="4" w15:restartNumberingAfterBreak="0">
    <w:nsid w:val="5D042EF4"/>
    <w:multiLevelType w:val="hybridMultilevel"/>
    <w:tmpl w:val="FB72D8A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5" w15:restartNumberingAfterBreak="0">
    <w:nsid w:val="78F22313"/>
    <w:multiLevelType w:val="hybridMultilevel"/>
    <w:tmpl w:val="B2120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68"/>
    <w:rsid w:val="0002026C"/>
    <w:rsid w:val="000565D1"/>
    <w:rsid w:val="000733A4"/>
    <w:rsid w:val="00081B31"/>
    <w:rsid w:val="001777B1"/>
    <w:rsid w:val="001B66B5"/>
    <w:rsid w:val="001F74AD"/>
    <w:rsid w:val="002910E6"/>
    <w:rsid w:val="002C3F68"/>
    <w:rsid w:val="00411EF6"/>
    <w:rsid w:val="004D0FD5"/>
    <w:rsid w:val="005F5E2D"/>
    <w:rsid w:val="00781539"/>
    <w:rsid w:val="00805939"/>
    <w:rsid w:val="00900877"/>
    <w:rsid w:val="00912DCF"/>
    <w:rsid w:val="009766F9"/>
    <w:rsid w:val="00B00758"/>
    <w:rsid w:val="00B460D1"/>
    <w:rsid w:val="00B90D89"/>
    <w:rsid w:val="00BD33BB"/>
    <w:rsid w:val="00C41C42"/>
    <w:rsid w:val="00C92414"/>
    <w:rsid w:val="00C92843"/>
    <w:rsid w:val="00CA4F1C"/>
    <w:rsid w:val="00D20315"/>
    <w:rsid w:val="00DB1940"/>
    <w:rsid w:val="00E73BA9"/>
    <w:rsid w:val="00EE002A"/>
    <w:rsid w:val="00F826AD"/>
    <w:rsid w:val="00FB75BC"/>
    <w:rsid w:val="00FC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B55F099-CD19-462B-89E6-2D72F65C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3F68"/>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link w:val="Heading1Char"/>
    <w:uiPriority w:val="1"/>
    <w:qFormat/>
    <w:rsid w:val="002C3F68"/>
    <w:pPr>
      <w:spacing w:before="162"/>
      <w:ind w:left="11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3F68"/>
    <w:rPr>
      <w:rFonts w:ascii="Verdana" w:eastAsia="Verdana" w:hAnsi="Verdana" w:cs="Verdana"/>
      <w:b/>
      <w:bCs/>
      <w:sz w:val="18"/>
      <w:szCs w:val="18"/>
      <w:lang w:val="en-US"/>
    </w:rPr>
  </w:style>
  <w:style w:type="paragraph" w:styleId="BodyText">
    <w:name w:val="Body Text"/>
    <w:basedOn w:val="Normal"/>
    <w:link w:val="BodyTextChar"/>
    <w:uiPriority w:val="1"/>
    <w:qFormat/>
    <w:rsid w:val="002C3F68"/>
    <w:rPr>
      <w:sz w:val="18"/>
      <w:szCs w:val="18"/>
    </w:rPr>
  </w:style>
  <w:style w:type="character" w:customStyle="1" w:styleId="BodyTextChar">
    <w:name w:val="Body Text Char"/>
    <w:basedOn w:val="DefaultParagraphFont"/>
    <w:link w:val="BodyText"/>
    <w:uiPriority w:val="1"/>
    <w:rsid w:val="002C3F68"/>
    <w:rPr>
      <w:rFonts w:ascii="Verdana" w:eastAsia="Verdana" w:hAnsi="Verdana" w:cs="Verdana"/>
      <w:sz w:val="18"/>
      <w:szCs w:val="18"/>
      <w:lang w:val="en-US"/>
    </w:rPr>
  </w:style>
  <w:style w:type="paragraph" w:styleId="ListParagraph">
    <w:name w:val="List Paragraph"/>
    <w:basedOn w:val="Normal"/>
    <w:uiPriority w:val="1"/>
    <w:qFormat/>
    <w:rsid w:val="002C3F68"/>
    <w:pPr>
      <w:ind w:left="655" w:hanging="197"/>
    </w:pPr>
  </w:style>
  <w:style w:type="paragraph" w:styleId="NormalWeb">
    <w:name w:val="Normal (Web)"/>
    <w:basedOn w:val="Normal"/>
    <w:uiPriority w:val="99"/>
    <w:semiHidden/>
    <w:unhideWhenUsed/>
    <w:rsid w:val="004D0FD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4D0FD5"/>
    <w:rPr>
      <w:i/>
      <w:iCs/>
    </w:rPr>
  </w:style>
  <w:style w:type="paragraph" w:styleId="Header">
    <w:name w:val="header"/>
    <w:basedOn w:val="Normal"/>
    <w:link w:val="HeaderChar"/>
    <w:uiPriority w:val="99"/>
    <w:unhideWhenUsed/>
    <w:rsid w:val="00781539"/>
    <w:pPr>
      <w:tabs>
        <w:tab w:val="center" w:pos="4513"/>
        <w:tab w:val="right" w:pos="9026"/>
      </w:tabs>
    </w:pPr>
  </w:style>
  <w:style w:type="character" w:customStyle="1" w:styleId="HeaderChar">
    <w:name w:val="Header Char"/>
    <w:basedOn w:val="DefaultParagraphFont"/>
    <w:link w:val="Header"/>
    <w:uiPriority w:val="99"/>
    <w:rsid w:val="00781539"/>
    <w:rPr>
      <w:rFonts w:ascii="Verdana" w:eastAsia="Verdana" w:hAnsi="Verdana" w:cs="Verdana"/>
      <w:lang w:val="en-US"/>
    </w:rPr>
  </w:style>
  <w:style w:type="paragraph" w:styleId="Footer">
    <w:name w:val="footer"/>
    <w:basedOn w:val="Normal"/>
    <w:link w:val="FooterChar"/>
    <w:uiPriority w:val="99"/>
    <w:unhideWhenUsed/>
    <w:rsid w:val="00781539"/>
    <w:pPr>
      <w:tabs>
        <w:tab w:val="center" w:pos="4513"/>
        <w:tab w:val="right" w:pos="9026"/>
      </w:tabs>
    </w:pPr>
  </w:style>
  <w:style w:type="character" w:customStyle="1" w:styleId="FooterChar">
    <w:name w:val="Footer Char"/>
    <w:basedOn w:val="DefaultParagraphFont"/>
    <w:link w:val="Footer"/>
    <w:uiPriority w:val="99"/>
    <w:rsid w:val="00781539"/>
    <w:rPr>
      <w:rFonts w:ascii="Verdana" w:eastAsia="Verdana" w:hAnsi="Verdana" w:cs="Verdana"/>
      <w:lang w:val="en-US"/>
    </w:rPr>
  </w:style>
  <w:style w:type="character" w:styleId="Hyperlink">
    <w:name w:val="Hyperlink"/>
    <w:rsid w:val="00900877"/>
    <w:rPr>
      <w:color w:val="0000FF"/>
      <w:u w:val="single"/>
    </w:rPr>
  </w:style>
  <w:style w:type="paragraph" w:styleId="BalloonText">
    <w:name w:val="Balloon Text"/>
    <w:basedOn w:val="Normal"/>
    <w:link w:val="BalloonTextChar"/>
    <w:uiPriority w:val="99"/>
    <w:semiHidden/>
    <w:unhideWhenUsed/>
    <w:rsid w:val="0007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A4"/>
    <w:rPr>
      <w:rFonts w:ascii="Segoe UI" w:eastAsia="Verdana" w:hAnsi="Segoe UI" w:cs="Segoe UI"/>
      <w:sz w:val="18"/>
      <w:szCs w:val="18"/>
      <w:lang w:val="en-US"/>
    </w:rPr>
  </w:style>
  <w:style w:type="paragraph" w:customStyle="1" w:styleId="DHHSbody">
    <w:name w:val="DHHS body"/>
    <w:basedOn w:val="Normal"/>
    <w:rsid w:val="00912DCF"/>
    <w:pPr>
      <w:widowControl/>
      <w:autoSpaceDE/>
      <w:autoSpaceDN/>
      <w:spacing w:after="120" w:line="270" w:lineRule="atLeast"/>
    </w:pPr>
    <w:rPr>
      <w:rFonts w:ascii="Arial" w:eastAsiaTheme="minorHAnsi"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45396">
      <w:bodyDiv w:val="1"/>
      <w:marLeft w:val="0"/>
      <w:marRight w:val="0"/>
      <w:marTop w:val="0"/>
      <w:marBottom w:val="0"/>
      <w:divBdr>
        <w:top w:val="none" w:sz="0" w:space="0" w:color="auto"/>
        <w:left w:val="none" w:sz="0" w:space="0" w:color="auto"/>
        <w:bottom w:val="none" w:sz="0" w:space="0" w:color="auto"/>
        <w:right w:val="none" w:sz="0" w:space="0" w:color="auto"/>
      </w:divBdr>
      <w:divsChild>
        <w:div w:id="310721490">
          <w:marLeft w:val="0"/>
          <w:marRight w:val="0"/>
          <w:marTop w:val="0"/>
          <w:marBottom w:val="0"/>
          <w:divBdr>
            <w:top w:val="none" w:sz="0" w:space="0" w:color="auto"/>
            <w:left w:val="none" w:sz="0" w:space="0" w:color="auto"/>
            <w:bottom w:val="none" w:sz="0" w:space="0" w:color="auto"/>
            <w:right w:val="none" w:sz="0" w:space="0" w:color="auto"/>
          </w:divBdr>
          <w:divsChild>
            <w:div w:id="1865820360">
              <w:marLeft w:val="0"/>
              <w:marRight w:val="0"/>
              <w:marTop w:val="0"/>
              <w:marBottom w:val="0"/>
              <w:divBdr>
                <w:top w:val="none" w:sz="0" w:space="0" w:color="auto"/>
                <w:left w:val="none" w:sz="0" w:space="0" w:color="auto"/>
                <w:bottom w:val="none" w:sz="0" w:space="0" w:color="auto"/>
                <w:right w:val="none" w:sz="0" w:space="0" w:color="auto"/>
              </w:divBdr>
              <w:divsChild>
                <w:div w:id="1277911600">
                  <w:marLeft w:val="0"/>
                  <w:marRight w:val="0"/>
                  <w:marTop w:val="0"/>
                  <w:marBottom w:val="0"/>
                  <w:divBdr>
                    <w:top w:val="none" w:sz="0" w:space="0" w:color="auto"/>
                    <w:left w:val="none" w:sz="0" w:space="0" w:color="auto"/>
                    <w:bottom w:val="none" w:sz="0" w:space="0" w:color="auto"/>
                    <w:right w:val="none" w:sz="0" w:space="0" w:color="auto"/>
                  </w:divBdr>
                  <w:divsChild>
                    <w:div w:id="817502789">
                      <w:marLeft w:val="0"/>
                      <w:marRight w:val="0"/>
                      <w:marTop w:val="0"/>
                      <w:marBottom w:val="0"/>
                      <w:divBdr>
                        <w:top w:val="none" w:sz="0" w:space="0" w:color="auto"/>
                        <w:left w:val="none" w:sz="0" w:space="0" w:color="auto"/>
                        <w:bottom w:val="none" w:sz="0" w:space="0" w:color="auto"/>
                        <w:right w:val="none" w:sz="0" w:space="0" w:color="auto"/>
                      </w:divBdr>
                      <w:divsChild>
                        <w:div w:id="1150825884">
                          <w:marLeft w:val="0"/>
                          <w:marRight w:val="0"/>
                          <w:marTop w:val="0"/>
                          <w:marBottom w:val="0"/>
                          <w:divBdr>
                            <w:top w:val="none" w:sz="0" w:space="0" w:color="auto"/>
                            <w:left w:val="none" w:sz="0" w:space="0" w:color="auto"/>
                            <w:bottom w:val="none" w:sz="0" w:space="0" w:color="auto"/>
                            <w:right w:val="none" w:sz="0" w:space="0" w:color="auto"/>
                          </w:divBdr>
                          <w:divsChild>
                            <w:div w:id="1168978175">
                              <w:marLeft w:val="0"/>
                              <w:marRight w:val="0"/>
                              <w:marTop w:val="0"/>
                              <w:marBottom w:val="0"/>
                              <w:divBdr>
                                <w:top w:val="none" w:sz="0" w:space="0" w:color="auto"/>
                                <w:left w:val="none" w:sz="0" w:space="0" w:color="auto"/>
                                <w:bottom w:val="none" w:sz="0" w:space="0" w:color="auto"/>
                                <w:right w:val="none" w:sz="0" w:space="0" w:color="auto"/>
                              </w:divBdr>
                              <w:divsChild>
                                <w:div w:id="1216769714">
                                  <w:marLeft w:val="0"/>
                                  <w:marRight w:val="0"/>
                                  <w:marTop w:val="0"/>
                                  <w:marBottom w:val="0"/>
                                  <w:divBdr>
                                    <w:top w:val="none" w:sz="0" w:space="0" w:color="auto"/>
                                    <w:left w:val="none" w:sz="0" w:space="0" w:color="auto"/>
                                    <w:bottom w:val="none" w:sz="0" w:space="0" w:color="auto"/>
                                    <w:right w:val="none" w:sz="0" w:space="0" w:color="auto"/>
                                  </w:divBdr>
                                  <w:divsChild>
                                    <w:div w:id="1434663787">
                                      <w:marLeft w:val="0"/>
                                      <w:marRight w:val="0"/>
                                      <w:marTop w:val="0"/>
                                      <w:marBottom w:val="0"/>
                                      <w:divBdr>
                                        <w:top w:val="none" w:sz="0" w:space="0" w:color="auto"/>
                                        <w:left w:val="none" w:sz="0" w:space="0" w:color="auto"/>
                                        <w:bottom w:val="none" w:sz="0" w:space="0" w:color="auto"/>
                                        <w:right w:val="none" w:sz="0" w:space="0" w:color="auto"/>
                                      </w:divBdr>
                                      <w:divsChild>
                                        <w:div w:id="1773743993">
                                          <w:marLeft w:val="0"/>
                                          <w:marRight w:val="0"/>
                                          <w:marTop w:val="0"/>
                                          <w:marBottom w:val="0"/>
                                          <w:divBdr>
                                            <w:top w:val="none" w:sz="0" w:space="0" w:color="auto"/>
                                            <w:left w:val="none" w:sz="0" w:space="0" w:color="auto"/>
                                            <w:bottom w:val="none" w:sz="0" w:space="0" w:color="auto"/>
                                            <w:right w:val="none" w:sz="0" w:space="0" w:color="auto"/>
                                          </w:divBdr>
                                          <w:divsChild>
                                            <w:div w:id="893153451">
                                              <w:marLeft w:val="0"/>
                                              <w:marRight w:val="0"/>
                                              <w:marTop w:val="0"/>
                                              <w:marBottom w:val="0"/>
                                              <w:divBdr>
                                                <w:top w:val="none" w:sz="0" w:space="0" w:color="auto"/>
                                                <w:left w:val="none" w:sz="0" w:space="0" w:color="auto"/>
                                                <w:bottom w:val="none" w:sz="0" w:space="0" w:color="auto"/>
                                                <w:right w:val="none" w:sz="0" w:space="0" w:color="auto"/>
                                              </w:divBdr>
                                              <w:divsChild>
                                                <w:div w:id="19075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3272-0B39-4238-A525-2C27D8D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Brasnett, Caroline</dc:creator>
  <cp:keywords/>
  <dc:description/>
  <cp:lastModifiedBy>Brasnett, Caroline</cp:lastModifiedBy>
  <cp:revision>6</cp:revision>
  <cp:lastPrinted>2018-10-10T04:16:00Z</cp:lastPrinted>
  <dcterms:created xsi:type="dcterms:W3CDTF">2019-06-19T01:24:00Z</dcterms:created>
  <dcterms:modified xsi:type="dcterms:W3CDTF">2019-07-09T07:43:00Z</dcterms:modified>
</cp:coreProperties>
</file>