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CF44" w14:textId="3689BFDD" w:rsidR="004A4EC3" w:rsidRPr="00C14680" w:rsidRDefault="00667617" w:rsidP="00280C06">
      <w:pPr>
        <w:spacing w:before="60" w:line="360" w:lineRule="auto"/>
        <w:rPr>
          <w:rFonts w:eastAsiaTheme="majorEastAsia" w:cs="Times New Roman (Headings CS)"/>
          <w:b/>
          <w:color w:val="CC5733"/>
          <w:sz w:val="20"/>
          <w:szCs w:val="20"/>
        </w:rPr>
      </w:pPr>
      <w:r>
        <w:rPr>
          <w:rFonts w:eastAsiaTheme="majorEastAsia" w:cs="Times New Roman (Headings CS)"/>
          <w:b/>
          <w:color w:val="CC5733"/>
          <w:sz w:val="30"/>
          <w:szCs w:val="30"/>
        </w:rPr>
        <w:t>Project Officer</w:t>
      </w:r>
      <w:r w:rsidR="004A4EC3" w:rsidRPr="00C14680">
        <w:rPr>
          <w:rFonts w:eastAsiaTheme="majorEastAsia" w:cs="Times New Roman (Headings CS)"/>
          <w:b/>
          <w:color w:val="CC5733"/>
          <w:sz w:val="30"/>
          <w:szCs w:val="30"/>
        </w:rPr>
        <w:t xml:space="preserve">, </w:t>
      </w:r>
      <w:r w:rsidR="006A1E28">
        <w:rPr>
          <w:rFonts w:eastAsiaTheme="majorEastAsia" w:cs="Times New Roman (Headings CS)"/>
          <w:b/>
          <w:color w:val="CC5733"/>
          <w:sz w:val="30"/>
          <w:szCs w:val="30"/>
        </w:rPr>
        <w:t xml:space="preserve">Level </w:t>
      </w:r>
      <w:r>
        <w:rPr>
          <w:rFonts w:eastAsiaTheme="majorEastAsia" w:cs="Times New Roman (Headings CS)"/>
          <w:b/>
          <w:color w:val="CC5733"/>
          <w:sz w:val="30"/>
          <w:szCs w:val="30"/>
        </w:rPr>
        <w:t>5</w:t>
      </w:r>
      <w:r w:rsidR="004A4EC3" w:rsidRPr="00C14680">
        <w:rPr>
          <w:rFonts w:eastAsiaTheme="majorEastAsia" w:cs="Times New Roman (Headings CS)"/>
          <w:b/>
          <w:color w:val="CC5733"/>
          <w:sz w:val="30"/>
          <w:szCs w:val="30"/>
        </w:rPr>
        <w:t xml:space="preserve"> (</w:t>
      </w:r>
      <w:r>
        <w:rPr>
          <w:rFonts w:eastAsiaTheme="majorEastAsia" w:cs="Times New Roman (Headings CS)"/>
          <w:b/>
          <w:color w:val="CC5733"/>
          <w:sz w:val="30"/>
          <w:szCs w:val="30"/>
        </w:rPr>
        <w:t>DPC2204</w:t>
      </w:r>
      <w:r w:rsidR="008B382B">
        <w:rPr>
          <w:rFonts w:eastAsiaTheme="majorEastAsia" w:cs="Times New Roman (Headings CS)"/>
          <w:b/>
          <w:color w:val="CC5733"/>
          <w:sz w:val="30"/>
          <w:szCs w:val="30"/>
        </w:rPr>
        <w:t>5</w:t>
      </w:r>
      <w:r w:rsidR="004A4EC3" w:rsidRPr="00C14680">
        <w:rPr>
          <w:rFonts w:eastAsiaTheme="majorEastAsia" w:cs="Times New Roman (Headings CS)"/>
          <w:b/>
          <w:color w:val="CC5733"/>
          <w:sz w:val="30"/>
          <w:szCs w:val="30"/>
        </w:rPr>
        <w:t>)</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395"/>
        <w:gridCol w:w="4814"/>
      </w:tblGrid>
      <w:tr w:rsidR="00C70D65" w:rsidRPr="00D007E3" w14:paraId="203B70C2" w14:textId="77777777" w:rsidTr="00862967">
        <w:trPr>
          <w:trHeight w:val="465"/>
        </w:trPr>
        <w:tc>
          <w:tcPr>
            <w:tcW w:w="4395" w:type="dxa"/>
            <w:vAlign w:val="center"/>
          </w:tcPr>
          <w:p w14:paraId="68AA88FF" w14:textId="29799A14" w:rsidR="00C70D65" w:rsidRPr="002A3C71" w:rsidRDefault="00C70D65" w:rsidP="00862967">
            <w:pPr>
              <w:pStyle w:val="Formfields"/>
              <w:framePr w:hSpace="0" w:wrap="auto" w:vAnchor="margin" w:yAlign="inline"/>
              <w:suppressOverlap w:val="0"/>
              <w:rPr>
                <w:color w:val="auto"/>
              </w:rPr>
            </w:pPr>
            <w:r>
              <w:t>Division</w:t>
            </w:r>
            <w:r w:rsidRPr="00D007E3">
              <w:t>:</w:t>
            </w:r>
            <w:r w:rsidRPr="003E4522">
              <w:rPr>
                <w:color w:val="auto"/>
              </w:rPr>
              <w:t xml:space="preserve"> </w:t>
            </w:r>
            <w:r w:rsidR="00667617">
              <w:rPr>
                <w:color w:val="auto"/>
              </w:rPr>
              <w:t>State Services</w:t>
            </w:r>
          </w:p>
        </w:tc>
        <w:tc>
          <w:tcPr>
            <w:tcW w:w="4814" w:type="dxa"/>
            <w:vAlign w:val="center"/>
          </w:tcPr>
          <w:p w14:paraId="71568BBB" w14:textId="570BAD91" w:rsidR="00C70D65" w:rsidRPr="002A3C71" w:rsidRDefault="00C70D65" w:rsidP="00862967">
            <w:pPr>
              <w:pStyle w:val="Formfields"/>
              <w:framePr w:hSpace="0" w:wrap="auto" w:vAnchor="margin" w:yAlign="inline"/>
              <w:suppressOverlap w:val="0"/>
              <w:rPr>
                <w:color w:val="auto"/>
              </w:rPr>
            </w:pPr>
            <w:r w:rsidRPr="00D007E3">
              <w:t>Reports to:</w:t>
            </w:r>
            <w:r w:rsidR="00667617">
              <w:t xml:space="preserve"> </w:t>
            </w:r>
            <w:r w:rsidR="00667617">
              <w:rPr>
                <w:color w:val="auto"/>
              </w:rPr>
              <w:t>Manager, Constitutional Centre</w:t>
            </w:r>
            <w:r w:rsidRPr="003E4522">
              <w:rPr>
                <w:color w:val="auto"/>
              </w:rPr>
              <w:t xml:space="preserve"> </w:t>
            </w:r>
          </w:p>
        </w:tc>
      </w:tr>
      <w:tr w:rsidR="00C70D65" w:rsidRPr="00D007E3" w14:paraId="44646006" w14:textId="77777777" w:rsidTr="00862967">
        <w:trPr>
          <w:trHeight w:val="465"/>
        </w:trPr>
        <w:tc>
          <w:tcPr>
            <w:tcW w:w="4395" w:type="dxa"/>
            <w:vAlign w:val="center"/>
          </w:tcPr>
          <w:p w14:paraId="6788E92C" w14:textId="77777777" w:rsidR="00667617" w:rsidRDefault="00C70D65" w:rsidP="00862967">
            <w:pPr>
              <w:pStyle w:val="Formfields"/>
              <w:framePr w:hSpace="0" w:wrap="auto" w:vAnchor="margin" w:yAlign="inline"/>
              <w:suppressOverlap w:val="0"/>
              <w:rPr>
                <w:color w:val="auto"/>
              </w:rPr>
            </w:pPr>
            <w:r>
              <w:t xml:space="preserve">Directorate </w:t>
            </w:r>
            <w:r w:rsidRPr="0061254A">
              <w:t>Branch:</w:t>
            </w:r>
            <w:r w:rsidR="00667617">
              <w:rPr>
                <w:color w:val="auto"/>
              </w:rPr>
              <w:t xml:space="preserve"> </w:t>
            </w:r>
          </w:p>
          <w:p w14:paraId="236184A4" w14:textId="06BEF450" w:rsidR="00C70D65" w:rsidRPr="00667617" w:rsidRDefault="00BD613A" w:rsidP="00862967">
            <w:pPr>
              <w:pStyle w:val="Formfields"/>
              <w:framePr w:hSpace="0" w:wrap="auto" w:vAnchor="margin" w:yAlign="inline"/>
              <w:suppressOverlap w:val="0"/>
              <w:rPr>
                <w:color w:val="auto"/>
              </w:rPr>
            </w:pPr>
            <w:r>
              <w:rPr>
                <w:color w:val="auto"/>
              </w:rPr>
              <w:t xml:space="preserve">       </w:t>
            </w:r>
            <w:r w:rsidR="00667617">
              <w:rPr>
                <w:color w:val="auto"/>
              </w:rPr>
              <w:t>External Engagement and Events</w:t>
            </w:r>
          </w:p>
        </w:tc>
        <w:tc>
          <w:tcPr>
            <w:tcW w:w="4814" w:type="dxa"/>
            <w:vAlign w:val="center"/>
          </w:tcPr>
          <w:p w14:paraId="6F2A49F6" w14:textId="77777777" w:rsidR="00C70D65" w:rsidRPr="00D007E3" w:rsidRDefault="00C70D65" w:rsidP="00862967">
            <w:pPr>
              <w:pStyle w:val="Formfields"/>
              <w:framePr w:hSpace="0" w:wrap="auto" w:vAnchor="margin" w:yAlign="inline"/>
              <w:suppressOverlap w:val="0"/>
            </w:pPr>
            <w:r w:rsidRPr="00D007E3">
              <w:t>Supervises</w:t>
            </w:r>
            <w:r w:rsidRPr="0061254A">
              <w:t>:</w:t>
            </w:r>
            <w:r w:rsidRPr="003E4522">
              <w:rPr>
                <w:color w:val="auto"/>
              </w:rPr>
              <w:t xml:space="preserve"> </w:t>
            </w:r>
            <w:r>
              <w:rPr>
                <w:color w:val="auto"/>
              </w:rPr>
              <w:t>0</w:t>
            </w:r>
          </w:p>
        </w:tc>
      </w:tr>
      <w:tr w:rsidR="00C70D65" w:rsidRPr="00D007E3" w14:paraId="2D9EFB73" w14:textId="77777777" w:rsidTr="00862967">
        <w:trPr>
          <w:trHeight w:val="465"/>
        </w:trPr>
        <w:tc>
          <w:tcPr>
            <w:tcW w:w="4395" w:type="dxa"/>
          </w:tcPr>
          <w:p w14:paraId="59C4912F" w14:textId="77777777" w:rsidR="00C70D65" w:rsidRDefault="00C70D65" w:rsidP="00862967">
            <w:pPr>
              <w:pStyle w:val="Formfields"/>
              <w:framePr w:hSpace="0" w:wrap="auto" w:vAnchor="margin" w:yAlign="inline"/>
              <w:suppressOverlap w:val="0"/>
            </w:pPr>
            <w:r w:rsidRPr="006A7C8E">
              <w:t>Location</w:t>
            </w:r>
            <w:r>
              <w:t xml:space="preserve">: </w:t>
            </w:r>
            <w:r w:rsidRPr="00591163">
              <w:rPr>
                <w:color w:val="auto"/>
              </w:rPr>
              <w:t>West Perth</w:t>
            </w:r>
          </w:p>
        </w:tc>
        <w:tc>
          <w:tcPr>
            <w:tcW w:w="4814" w:type="dxa"/>
          </w:tcPr>
          <w:p w14:paraId="65028B18" w14:textId="77777777" w:rsidR="00C70D65" w:rsidRPr="00D007E3" w:rsidRDefault="00C70D65" w:rsidP="00862967">
            <w:pPr>
              <w:pStyle w:val="Formfields"/>
              <w:framePr w:hSpace="0" w:wrap="auto" w:vAnchor="margin" w:yAlign="inline"/>
              <w:suppressOverlap w:val="0"/>
            </w:pPr>
            <w:r w:rsidRPr="006A7C8E">
              <w:t>OSCA Code:</w:t>
            </w:r>
            <w:r>
              <w:t xml:space="preserve"> </w:t>
            </w:r>
          </w:p>
        </w:tc>
      </w:tr>
    </w:tbl>
    <w:p w14:paraId="0659CC79" w14:textId="5A0A0325" w:rsidR="00756536" w:rsidRPr="00F80DEC" w:rsidRDefault="004A4EC3" w:rsidP="00C70D65">
      <w:pPr>
        <w:spacing w:before="240" w:line="240" w:lineRule="auto"/>
        <w:jc w:val="both"/>
        <w:rPr>
          <w:rFonts w:eastAsiaTheme="majorEastAsia" w:cs="Times New Roman (Headings CS)"/>
          <w:b/>
          <w:color w:val="CC5733"/>
        </w:rPr>
      </w:pPr>
      <w:r w:rsidRPr="00F80DEC">
        <w:rPr>
          <w:rFonts w:eastAsiaTheme="majorEastAsia" w:cs="Times New Roman (Headings CS)"/>
          <w:b/>
          <w:color w:val="CC5733"/>
        </w:rPr>
        <w:t>Our vision is to lead a connected government that delivers a brighter future for Western Australians</w:t>
      </w:r>
      <w:r w:rsidR="005257D4" w:rsidRPr="00F80DEC">
        <w:rPr>
          <w:rFonts w:eastAsiaTheme="majorEastAsia" w:cs="Times New Roman (Headings CS)"/>
          <w:b/>
          <w:color w:val="CC5733"/>
        </w:rPr>
        <w:t xml:space="preserve">. </w:t>
      </w:r>
    </w:p>
    <w:p w14:paraId="064B12A5" w14:textId="5202E471" w:rsidR="00756536" w:rsidRPr="004A3655" w:rsidRDefault="00756536" w:rsidP="00C70D65">
      <w:pPr>
        <w:spacing w:line="240" w:lineRule="auto"/>
        <w:jc w:val="both"/>
      </w:pPr>
      <w:r w:rsidRPr="004A3655">
        <w:t xml:space="preserve">The Department of the Premier and Cabinet (DPC) </w:t>
      </w:r>
      <w:r w:rsidR="0064663A">
        <w:t xml:space="preserve">is a central agency, leading the public sector by providing </w:t>
      </w:r>
      <w:r w:rsidRPr="004A3655">
        <w:t>whole-of-Government advice and support</w:t>
      </w:r>
      <w:r w:rsidR="0064663A">
        <w:t xml:space="preserve">ing both </w:t>
      </w:r>
      <w:r w:rsidRPr="004A3655">
        <w:t xml:space="preserve">the Premier and Cabinet in their service </w:t>
      </w:r>
      <w:r w:rsidR="0064663A">
        <w:t>to</w:t>
      </w:r>
      <w:r w:rsidRPr="004A3655">
        <w:t xml:space="preserve"> the WA community.</w:t>
      </w:r>
      <w:r w:rsidR="00044FF3" w:rsidRPr="004A3655">
        <w:t xml:space="preserve"> </w:t>
      </w:r>
    </w:p>
    <w:p w14:paraId="1AEF4CDD" w14:textId="035DC799" w:rsidR="00FE0D47" w:rsidRPr="004A3655" w:rsidRDefault="00FE0D47" w:rsidP="006007DE">
      <w:pPr>
        <w:spacing w:line="240" w:lineRule="auto"/>
        <w:jc w:val="both"/>
      </w:pPr>
      <w:r w:rsidRPr="004A3655">
        <w:t xml:space="preserve">Our </w:t>
      </w:r>
      <w:r w:rsidR="006007DE">
        <w:t xml:space="preserve">divisions </w:t>
      </w:r>
      <w:r w:rsidR="0064663A">
        <w:t>consist of</w:t>
      </w:r>
      <w:r w:rsidRPr="004A3655">
        <w:t xml:space="preserve"> </w:t>
      </w:r>
      <w:r w:rsidR="006007DE">
        <w:t xml:space="preserve">State Services, Delivery and Policy, </w:t>
      </w:r>
      <w:r w:rsidR="006007DE" w:rsidRPr="006007DE">
        <w:t>Aboriginal Engagement and</w:t>
      </w:r>
      <w:r w:rsidR="006007DE">
        <w:t xml:space="preserve"> Native Title, Office of the Coordinator General,</w:t>
      </w:r>
      <w:r w:rsidR="006007DE" w:rsidRPr="006007DE">
        <w:t xml:space="preserve"> </w:t>
      </w:r>
      <w:r w:rsidR="006007DE" w:rsidRPr="004A3655">
        <w:t>Office of Digital Government</w:t>
      </w:r>
      <w:r w:rsidR="006007DE">
        <w:t xml:space="preserve"> and the Office of </w:t>
      </w:r>
      <w:r w:rsidR="0064663A">
        <w:t>D</w:t>
      </w:r>
      <w:r w:rsidR="006007DE">
        <w:t>efence Industries.</w:t>
      </w:r>
    </w:p>
    <w:p w14:paraId="5022EB32" w14:textId="05317702" w:rsidR="00477E21" w:rsidRPr="00F80DEC" w:rsidRDefault="003522C2" w:rsidP="00957200">
      <w:pPr>
        <w:spacing w:before="240" w:line="240" w:lineRule="auto"/>
        <w:rPr>
          <w:rFonts w:eastAsiaTheme="majorEastAsia" w:cs="Times New Roman (Headings CS)"/>
          <w:b/>
          <w:color w:val="CC5733"/>
        </w:rPr>
      </w:pPr>
      <w:bookmarkStart w:id="0" w:name="_Hlk125896025"/>
      <w:r w:rsidRPr="00F80DEC">
        <w:rPr>
          <w:rFonts w:eastAsiaTheme="majorEastAsia" w:cs="Times New Roman (Headings CS)"/>
          <w:b/>
          <w:color w:val="CC5733"/>
        </w:rPr>
        <w:t xml:space="preserve">Our values, Leadership, Connection and Impact, underpin the way we work. </w:t>
      </w:r>
    </w:p>
    <w:bookmarkEnd w:id="0"/>
    <w:p w14:paraId="497D04A9" w14:textId="02BDA4A1" w:rsidR="000F0556" w:rsidRPr="00446816" w:rsidRDefault="000F0556" w:rsidP="00C70D65">
      <w:pPr>
        <w:jc w:val="both"/>
      </w:pPr>
      <w:r w:rsidRPr="00446816">
        <w:t>Our Values of Leadership, Connection and Impact, underpin the way we work and guide us as we achieve our strategic priorities. By demonstrating professionalism, courage and integrity, our collective efforts working with the public sector and throughout the community enable us to deliver high quality outcomes that improve the lives of Western Australians</w:t>
      </w:r>
    </w:p>
    <w:p w14:paraId="2E6C1DBA" w14:textId="040EE5F3" w:rsidR="00667617" w:rsidRPr="005C6A39" w:rsidRDefault="00216C2A" w:rsidP="005C6A39">
      <w:pPr>
        <w:rPr>
          <w:rFonts w:eastAsiaTheme="majorEastAsia" w:cs="Times New Roman (Headings CS)"/>
          <w:b/>
          <w:color w:val="CC5733"/>
        </w:rPr>
      </w:pPr>
      <w:r w:rsidRPr="00D16302">
        <w:rPr>
          <w:rFonts w:eastAsiaTheme="majorEastAsia" w:cs="Times New Roman (Headings CS)"/>
          <w:b/>
          <w:color w:val="CC5733"/>
        </w:rPr>
        <w:t xml:space="preserve">About the </w:t>
      </w:r>
      <w:r w:rsidR="00BC31BC" w:rsidRPr="00C70D65">
        <w:rPr>
          <w:rFonts w:eastAsiaTheme="majorEastAsia" w:cs="Times New Roman (Headings CS)"/>
          <w:b/>
          <w:color w:val="CC5733"/>
        </w:rPr>
        <w:t>Directorate/</w:t>
      </w:r>
      <w:r w:rsidR="00D16302">
        <w:rPr>
          <w:rFonts w:eastAsiaTheme="majorEastAsia" w:cs="Times New Roman (Headings CS)"/>
          <w:b/>
          <w:color w:val="CC5733"/>
        </w:rPr>
        <w:t>Branch</w:t>
      </w:r>
    </w:p>
    <w:p w14:paraId="620EBDA6" w14:textId="12E33AEE" w:rsidR="00667617" w:rsidRPr="00667617" w:rsidRDefault="00667617" w:rsidP="00667617">
      <w:pPr>
        <w:spacing w:line="240" w:lineRule="auto"/>
        <w:jc w:val="both"/>
      </w:pPr>
      <w:r w:rsidRPr="00667617">
        <w:t xml:space="preserve">The </w:t>
      </w:r>
      <w:r w:rsidR="00D263CA" w:rsidRPr="00D263CA">
        <w:t>External Engagement and Events d</w:t>
      </w:r>
      <w:r w:rsidRPr="00D263CA">
        <w:t>irectorate</w:t>
      </w:r>
      <w:r w:rsidRPr="00667617">
        <w:t xml:space="preserve"> is</w:t>
      </w:r>
      <w:r w:rsidR="00D263CA">
        <w:t xml:space="preserve"> </w:t>
      </w:r>
      <w:r w:rsidRPr="00667617">
        <w:t>responsible for ensuring matters of State Protocol are managed effectively and efficiently, and for the provision of educational services both through schools and to the public through the Constitutional Centre of Western Australia.</w:t>
      </w:r>
    </w:p>
    <w:p w14:paraId="7D1D0209" w14:textId="18DFF034" w:rsidR="00477E21" w:rsidRDefault="00A00DF9" w:rsidP="00F80DEC">
      <w:pPr>
        <w:rPr>
          <w:rFonts w:eastAsiaTheme="majorEastAsia" w:cs="Times New Roman (Headings CS)"/>
          <w:b/>
          <w:color w:val="CC5733"/>
        </w:rPr>
      </w:pPr>
      <w:r w:rsidRPr="00D16302">
        <w:rPr>
          <w:rFonts w:eastAsiaTheme="majorEastAsia" w:cs="Times New Roman (Headings CS)"/>
          <w:b/>
          <w:color w:val="CC5733"/>
        </w:rPr>
        <w:t xml:space="preserve">About the </w:t>
      </w:r>
      <w:r w:rsidR="00756536" w:rsidRPr="00D16302">
        <w:rPr>
          <w:rFonts w:eastAsiaTheme="majorEastAsia" w:cs="Times New Roman (Headings CS)"/>
          <w:b/>
          <w:color w:val="CC5733"/>
        </w:rPr>
        <w:t>Role</w:t>
      </w:r>
      <w:r w:rsidR="00C45F38" w:rsidRPr="00D16302">
        <w:rPr>
          <w:rFonts w:eastAsiaTheme="majorEastAsia" w:cs="Times New Roman (Headings CS)"/>
          <w:b/>
          <w:color w:val="CC5733"/>
        </w:rPr>
        <w:t xml:space="preserve"> </w:t>
      </w:r>
      <w:r w:rsidR="004A4EC3" w:rsidRPr="00D16302">
        <w:rPr>
          <w:rFonts w:eastAsiaTheme="majorEastAsia" w:cs="Times New Roman (Headings CS)"/>
          <w:b/>
          <w:color w:val="CC5733"/>
        </w:rPr>
        <w:t>and Responsibilities</w:t>
      </w:r>
    </w:p>
    <w:p w14:paraId="28186666" w14:textId="77777777" w:rsidR="002E3911" w:rsidRPr="002E3911" w:rsidRDefault="002E3911" w:rsidP="002E3911">
      <w:pPr>
        <w:jc w:val="both"/>
      </w:pPr>
      <w:r w:rsidRPr="002E3911">
        <w:t xml:space="preserve">The Project Officer within the Constitutional Branch undertakes the planning, implementation, and evaluation of community and public sector awareness and education programs delivered on the Constitution, functions of Parliament and Executive Government in WA. This includes content creation and review to meet target audience outcomes. The Project Officer delivers presentations to a wide variety of student and adult groups and liaises and negotiates with key stakeholders </w:t>
      </w:r>
      <w:proofErr w:type="gramStart"/>
      <w:r w:rsidRPr="002E3911">
        <w:t>in order to</w:t>
      </w:r>
      <w:proofErr w:type="gramEnd"/>
      <w:r w:rsidRPr="002E3911">
        <w:t xml:space="preserve"> enhance Centre programs. Develops and maintains the Constitutional Centre online content. The Project Officer will provide senior project support including:</w:t>
      </w:r>
    </w:p>
    <w:p w14:paraId="4B1D1EC3" w14:textId="77777777" w:rsidR="002E3911" w:rsidRPr="002E3911" w:rsidRDefault="002E3911" w:rsidP="002E3911">
      <w:pPr>
        <w:pStyle w:val="ListParagraph"/>
        <w:numPr>
          <w:ilvl w:val="0"/>
          <w:numId w:val="33"/>
        </w:numPr>
        <w:jc w:val="both"/>
      </w:pPr>
      <w:r w:rsidRPr="002E3911">
        <w:t>The promotion of the Constitutional Centre through professional development, outreach programs, websites activities and visitor education programs; and</w:t>
      </w:r>
    </w:p>
    <w:p w14:paraId="557B431B" w14:textId="3731F229" w:rsidR="002E3911" w:rsidRPr="00D16302" w:rsidRDefault="002E3911" w:rsidP="002E3911">
      <w:pPr>
        <w:pStyle w:val="ListParagraph"/>
        <w:numPr>
          <w:ilvl w:val="0"/>
          <w:numId w:val="33"/>
        </w:numPr>
        <w:jc w:val="both"/>
      </w:pPr>
      <w:r w:rsidRPr="002E3911">
        <w:t>Assist with the delivery of visitor education programs.</w:t>
      </w:r>
    </w:p>
    <w:tbl>
      <w:tblPr>
        <w:tblW w:w="10094" w:type="dxa"/>
        <w:tblCellMar>
          <w:top w:w="57" w:type="dxa"/>
          <w:bottom w:w="57" w:type="dxa"/>
        </w:tblCellMar>
        <w:tblLook w:val="04A0" w:firstRow="1" w:lastRow="0" w:firstColumn="1" w:lastColumn="0" w:noHBand="0" w:noVBand="1"/>
      </w:tblPr>
      <w:tblGrid>
        <w:gridCol w:w="10094"/>
      </w:tblGrid>
      <w:tr w:rsidR="00667617" w:rsidRPr="0075000A" w14:paraId="752BE74B" w14:textId="77777777" w:rsidTr="000D21D6">
        <w:tc>
          <w:tcPr>
            <w:tcW w:w="10094" w:type="dxa"/>
            <w:tcMar>
              <w:top w:w="28" w:type="dxa"/>
              <w:bottom w:w="28" w:type="dxa"/>
            </w:tcMar>
          </w:tcPr>
          <w:p w14:paraId="4E2ED19A" w14:textId="77777777" w:rsidR="00667617" w:rsidRPr="00667617" w:rsidRDefault="00667617" w:rsidP="002E3911">
            <w:pPr>
              <w:spacing w:before="240" w:after="0"/>
              <w:rPr>
                <w:b/>
                <w:szCs w:val="32"/>
              </w:rPr>
            </w:pPr>
            <w:r w:rsidRPr="00667617">
              <w:rPr>
                <w:b/>
                <w:noProof/>
                <w:szCs w:val="32"/>
              </w:rPr>
              <w:lastRenderedPageBreak/>
              <w:t>Policy and Projects</w:t>
            </w:r>
          </w:p>
        </w:tc>
      </w:tr>
      <w:tr w:rsidR="00667617" w:rsidRPr="0075000A" w14:paraId="4D80C81A" w14:textId="77777777" w:rsidTr="000D21D6">
        <w:tc>
          <w:tcPr>
            <w:tcW w:w="10094" w:type="dxa"/>
            <w:tcMar>
              <w:top w:w="28" w:type="dxa"/>
              <w:bottom w:w="28" w:type="dxa"/>
            </w:tcMar>
          </w:tcPr>
          <w:p w14:paraId="30552D18" w14:textId="77777777" w:rsidR="00667617" w:rsidRPr="00667617" w:rsidRDefault="00667617" w:rsidP="00667617">
            <w:pPr>
              <w:pStyle w:val="tabledot"/>
              <w:numPr>
                <w:ilvl w:val="0"/>
                <w:numId w:val="28"/>
              </w:numPr>
              <w:jc w:val="both"/>
              <w:rPr>
                <w:rFonts w:cs="Arial"/>
                <w:sz w:val="24"/>
                <w:szCs w:val="32"/>
              </w:rPr>
            </w:pPr>
            <w:r w:rsidRPr="00667617">
              <w:rPr>
                <w:rFonts w:cs="Arial"/>
                <w:sz w:val="24"/>
                <w:szCs w:val="32"/>
              </w:rPr>
              <w:t>Undertakes research, planning, delivery and managing of the visitor education programs for the Constitutional Centre, under the direction of the Manager.</w:t>
            </w:r>
          </w:p>
          <w:p w14:paraId="4EAFCD81" w14:textId="77777777" w:rsidR="00667617" w:rsidRPr="00667617" w:rsidRDefault="00667617" w:rsidP="00667617">
            <w:pPr>
              <w:pStyle w:val="tabledot"/>
              <w:numPr>
                <w:ilvl w:val="0"/>
                <w:numId w:val="28"/>
              </w:numPr>
              <w:jc w:val="both"/>
              <w:rPr>
                <w:rFonts w:cs="Arial"/>
                <w:sz w:val="24"/>
                <w:szCs w:val="32"/>
              </w:rPr>
            </w:pPr>
            <w:r w:rsidRPr="00667617">
              <w:rPr>
                <w:rFonts w:cs="Arial"/>
                <w:sz w:val="24"/>
                <w:szCs w:val="32"/>
              </w:rPr>
              <w:t>Develops resource materials for use by members of the public, public servants and students visiting the Centre and classroom use.</w:t>
            </w:r>
          </w:p>
          <w:p w14:paraId="496BBB42" w14:textId="77777777" w:rsidR="00667617" w:rsidRPr="00667617" w:rsidRDefault="00667617" w:rsidP="00667617">
            <w:pPr>
              <w:pStyle w:val="tabledot"/>
              <w:numPr>
                <w:ilvl w:val="0"/>
                <w:numId w:val="28"/>
              </w:numPr>
              <w:jc w:val="both"/>
              <w:rPr>
                <w:rFonts w:cs="Arial"/>
                <w:sz w:val="24"/>
                <w:szCs w:val="32"/>
              </w:rPr>
            </w:pPr>
            <w:r w:rsidRPr="00667617">
              <w:rPr>
                <w:rFonts w:cs="Arial"/>
                <w:sz w:val="24"/>
                <w:szCs w:val="32"/>
              </w:rPr>
              <w:fldChar w:fldCharType="begin"/>
            </w:r>
            <w:r w:rsidRPr="00667617">
              <w:rPr>
                <w:rFonts w:cs="Arial"/>
                <w:sz w:val="24"/>
                <w:szCs w:val="32"/>
              </w:rPr>
              <w:instrText xml:space="preserve"> MERGEFIELD Duty_61 </w:instrText>
            </w:r>
            <w:r w:rsidRPr="00667617">
              <w:rPr>
                <w:rFonts w:cs="Arial"/>
                <w:sz w:val="24"/>
                <w:szCs w:val="32"/>
              </w:rPr>
              <w:fldChar w:fldCharType="separate"/>
            </w:r>
            <w:r w:rsidRPr="00667617">
              <w:rPr>
                <w:rFonts w:cs="Arial"/>
                <w:sz w:val="24"/>
                <w:szCs w:val="32"/>
              </w:rPr>
              <w:t>Contributes in the identification of current educational trends and influencing programs and program development at the centre.</w:t>
            </w:r>
            <w:r w:rsidRPr="00667617">
              <w:rPr>
                <w:rFonts w:cs="Arial"/>
                <w:sz w:val="24"/>
                <w:szCs w:val="32"/>
              </w:rPr>
              <w:fldChar w:fldCharType="end"/>
            </w:r>
          </w:p>
          <w:p w14:paraId="44FBB44F" w14:textId="77777777" w:rsidR="00667617" w:rsidRPr="00667617" w:rsidRDefault="00667617" w:rsidP="00667617">
            <w:pPr>
              <w:pStyle w:val="tabledot"/>
              <w:numPr>
                <w:ilvl w:val="0"/>
                <w:numId w:val="28"/>
              </w:numPr>
              <w:jc w:val="both"/>
              <w:rPr>
                <w:rFonts w:cs="Arial"/>
                <w:sz w:val="24"/>
                <w:szCs w:val="32"/>
              </w:rPr>
            </w:pPr>
            <w:r w:rsidRPr="00667617">
              <w:rPr>
                <w:rFonts w:cs="Arial"/>
                <w:sz w:val="24"/>
                <w:szCs w:val="32"/>
              </w:rPr>
              <w:t>Assists in the evaluation of visitor education programs performance outcomes against team objectives.</w:t>
            </w:r>
          </w:p>
          <w:p w14:paraId="074112AB" w14:textId="77777777" w:rsidR="00667617" w:rsidRPr="00667617" w:rsidRDefault="00667617" w:rsidP="00667617">
            <w:pPr>
              <w:pStyle w:val="tabledot"/>
              <w:numPr>
                <w:ilvl w:val="0"/>
                <w:numId w:val="28"/>
              </w:numPr>
              <w:jc w:val="both"/>
              <w:rPr>
                <w:rFonts w:cs="Arial"/>
                <w:sz w:val="24"/>
                <w:szCs w:val="32"/>
              </w:rPr>
            </w:pPr>
            <w:r w:rsidRPr="00667617">
              <w:rPr>
                <w:rFonts w:cs="Arial"/>
                <w:sz w:val="24"/>
                <w:szCs w:val="32"/>
              </w:rPr>
              <w:t>Supports the Principal Project and Education Coordinator in determining strategic direction for the Constitutional Centre.</w:t>
            </w:r>
          </w:p>
          <w:p w14:paraId="6675E709" w14:textId="77777777" w:rsidR="00667617" w:rsidRPr="00667617" w:rsidRDefault="00667617" w:rsidP="00667617">
            <w:pPr>
              <w:pStyle w:val="tabledot"/>
              <w:numPr>
                <w:ilvl w:val="0"/>
                <w:numId w:val="28"/>
              </w:numPr>
              <w:jc w:val="both"/>
              <w:rPr>
                <w:rFonts w:cs="Arial"/>
                <w:sz w:val="24"/>
                <w:szCs w:val="32"/>
              </w:rPr>
            </w:pPr>
            <w:r w:rsidRPr="00667617">
              <w:rPr>
                <w:rFonts w:cs="Arial"/>
                <w:sz w:val="24"/>
                <w:szCs w:val="32"/>
              </w:rPr>
              <w:t>Assists with the promotion of the Centre’s objectives through presentations to schools, public sector and community organisations.</w:t>
            </w:r>
          </w:p>
          <w:p w14:paraId="542D37F5" w14:textId="77777777" w:rsidR="00667617" w:rsidRPr="00667617" w:rsidRDefault="00667617" w:rsidP="00667617">
            <w:pPr>
              <w:pStyle w:val="tabledot"/>
              <w:numPr>
                <w:ilvl w:val="0"/>
                <w:numId w:val="28"/>
              </w:numPr>
              <w:jc w:val="both"/>
              <w:rPr>
                <w:rFonts w:cs="Arial"/>
                <w:sz w:val="24"/>
                <w:szCs w:val="32"/>
              </w:rPr>
            </w:pPr>
            <w:r w:rsidRPr="00667617">
              <w:rPr>
                <w:rFonts w:cs="Arial"/>
                <w:sz w:val="24"/>
                <w:szCs w:val="32"/>
              </w:rPr>
              <w:t>Assists in the development, production and distribution of promotional materials to schools, public sector and community organisations.</w:t>
            </w:r>
          </w:p>
          <w:p w14:paraId="5C449123" w14:textId="0D736CA3" w:rsidR="00667617" w:rsidRPr="00667617" w:rsidRDefault="00667617" w:rsidP="00667617">
            <w:pPr>
              <w:pStyle w:val="tabledot"/>
              <w:numPr>
                <w:ilvl w:val="0"/>
                <w:numId w:val="28"/>
              </w:numPr>
              <w:jc w:val="both"/>
              <w:rPr>
                <w:rFonts w:cs="Arial"/>
                <w:sz w:val="24"/>
                <w:szCs w:val="32"/>
              </w:rPr>
            </w:pPr>
            <w:r w:rsidRPr="00667617">
              <w:rPr>
                <w:rFonts w:cs="Arial"/>
                <w:sz w:val="24"/>
                <w:szCs w:val="32"/>
              </w:rPr>
              <w:t>Assists in the development of appropriate interactive materials for use on the Centre’s website and social media channels.</w:t>
            </w:r>
          </w:p>
        </w:tc>
      </w:tr>
      <w:tr w:rsidR="00667617" w:rsidRPr="0075000A" w14:paraId="6F8C2B70" w14:textId="77777777" w:rsidTr="000D21D6">
        <w:tc>
          <w:tcPr>
            <w:tcW w:w="10094" w:type="dxa"/>
            <w:tcMar>
              <w:top w:w="28" w:type="dxa"/>
              <w:bottom w:w="28" w:type="dxa"/>
            </w:tcMar>
          </w:tcPr>
          <w:p w14:paraId="608965DC" w14:textId="77777777" w:rsidR="00667617" w:rsidRPr="00667617" w:rsidRDefault="00667617" w:rsidP="002E3911">
            <w:pPr>
              <w:spacing w:before="240"/>
              <w:rPr>
                <w:b/>
                <w:noProof/>
                <w:szCs w:val="32"/>
              </w:rPr>
            </w:pPr>
            <w:r w:rsidRPr="00667617">
              <w:rPr>
                <w:b/>
                <w:noProof/>
                <w:szCs w:val="32"/>
              </w:rPr>
              <w:t>Stakeholder Advice and Liaison</w:t>
            </w:r>
          </w:p>
          <w:p w14:paraId="12158FA7" w14:textId="77777777" w:rsidR="00667617" w:rsidRPr="00667617" w:rsidRDefault="00667617" w:rsidP="00667617">
            <w:pPr>
              <w:pStyle w:val="tabledot"/>
              <w:numPr>
                <w:ilvl w:val="0"/>
                <w:numId w:val="29"/>
              </w:numPr>
              <w:rPr>
                <w:rFonts w:cs="Arial"/>
                <w:sz w:val="24"/>
                <w:szCs w:val="32"/>
              </w:rPr>
            </w:pPr>
            <w:r w:rsidRPr="00667617">
              <w:rPr>
                <w:rFonts w:cs="Arial"/>
                <w:sz w:val="24"/>
                <w:szCs w:val="32"/>
              </w:rPr>
              <w:t>Liaises with relevant stakeholders to facilitate visitations to the Centre by schools, community and public sector staff, including ensuring the availibility of staff, venue and resources.</w:t>
            </w:r>
          </w:p>
          <w:p w14:paraId="600E542C" w14:textId="25800046" w:rsidR="00667617" w:rsidRPr="002E3911" w:rsidRDefault="00667617" w:rsidP="002E3911">
            <w:pPr>
              <w:pStyle w:val="tabledot"/>
              <w:numPr>
                <w:ilvl w:val="0"/>
                <w:numId w:val="29"/>
              </w:numPr>
              <w:rPr>
                <w:rFonts w:cs="Arial"/>
                <w:sz w:val="24"/>
                <w:szCs w:val="32"/>
              </w:rPr>
            </w:pPr>
            <w:r w:rsidRPr="002E3911">
              <w:rPr>
                <w:rFonts w:cs="Arial"/>
                <w:sz w:val="24"/>
                <w:szCs w:val="32"/>
              </w:rPr>
              <w:fldChar w:fldCharType="begin"/>
            </w:r>
            <w:r w:rsidRPr="00667617">
              <w:rPr>
                <w:rFonts w:cs="Arial"/>
                <w:sz w:val="24"/>
                <w:szCs w:val="32"/>
              </w:rPr>
              <w:instrText xml:space="preserve"> MERGEFIELD Duty_41 </w:instrText>
            </w:r>
            <w:r w:rsidRPr="002E3911">
              <w:rPr>
                <w:rFonts w:cs="Arial"/>
                <w:sz w:val="24"/>
                <w:szCs w:val="32"/>
              </w:rPr>
              <w:fldChar w:fldCharType="separate"/>
            </w:r>
            <w:r w:rsidRPr="00667617">
              <w:rPr>
                <w:rFonts w:cs="Arial"/>
                <w:sz w:val="24"/>
                <w:szCs w:val="32"/>
              </w:rPr>
              <w:t>Assists in the development of appropriate material, outreach programs for use at the Centre and</w:t>
            </w:r>
            <w:r w:rsidR="002E3911">
              <w:rPr>
                <w:rFonts w:cs="Arial"/>
                <w:sz w:val="24"/>
                <w:szCs w:val="32"/>
              </w:rPr>
              <w:t xml:space="preserve"> remote</w:t>
            </w:r>
            <w:r w:rsidRPr="00667617">
              <w:rPr>
                <w:rFonts w:cs="Arial"/>
                <w:sz w:val="24"/>
                <w:szCs w:val="32"/>
              </w:rPr>
              <w:t xml:space="preserve"> </w:t>
            </w:r>
            <w:r w:rsidRPr="002E3911">
              <w:rPr>
                <w:rFonts w:cs="Arial"/>
                <w:sz w:val="24"/>
                <w:szCs w:val="32"/>
              </w:rPr>
              <w:t xml:space="preserve">regional areas. </w:t>
            </w:r>
            <w:r w:rsidRPr="002E3911">
              <w:rPr>
                <w:rFonts w:cs="Arial"/>
                <w:sz w:val="24"/>
                <w:szCs w:val="32"/>
              </w:rPr>
              <w:fldChar w:fldCharType="end"/>
            </w:r>
          </w:p>
          <w:p w14:paraId="0171385E" w14:textId="0094DA84" w:rsidR="00667617" w:rsidRPr="00667617" w:rsidRDefault="00667617" w:rsidP="00667617">
            <w:pPr>
              <w:pStyle w:val="tabledot"/>
              <w:numPr>
                <w:ilvl w:val="0"/>
                <w:numId w:val="29"/>
              </w:numPr>
              <w:rPr>
                <w:rFonts w:cs="Arial"/>
                <w:sz w:val="24"/>
                <w:szCs w:val="32"/>
              </w:rPr>
            </w:pPr>
            <w:r w:rsidRPr="00667617">
              <w:rPr>
                <w:rFonts w:cs="Arial"/>
                <w:sz w:val="24"/>
                <w:szCs w:val="32"/>
              </w:rPr>
              <w:t xml:space="preserve">Facilitates the sharing and transfer of knowledge with other staff within the Directorate. </w:t>
            </w:r>
          </w:p>
        </w:tc>
      </w:tr>
    </w:tbl>
    <w:p w14:paraId="32AF7670" w14:textId="328884D3" w:rsidR="00756536" w:rsidRPr="00C42E57" w:rsidRDefault="00F167A5"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Corporate</w:t>
      </w:r>
      <w:r w:rsidR="004A4EC3" w:rsidRPr="00C42E57">
        <w:rPr>
          <w:rFonts w:eastAsiaTheme="majorEastAsia" w:cs="Times New Roman (Headings CS)"/>
          <w:b/>
          <w:color w:val="CC5733"/>
        </w:rPr>
        <w:t xml:space="preserve"> </w:t>
      </w:r>
      <w:r w:rsidR="00756536" w:rsidRPr="00C42E57">
        <w:rPr>
          <w:rFonts w:eastAsiaTheme="majorEastAsia" w:cs="Times New Roman (Headings CS)"/>
          <w:b/>
          <w:color w:val="CC5733"/>
        </w:rPr>
        <w:t>Responsibilities</w:t>
      </w:r>
    </w:p>
    <w:p w14:paraId="73CD6F8D" w14:textId="234A63AA" w:rsidR="001B6E36" w:rsidRPr="001B6E36" w:rsidRDefault="001B6E36" w:rsidP="001B6E36">
      <w:pPr>
        <w:pStyle w:val="ListParagraph"/>
        <w:numPr>
          <w:ilvl w:val="0"/>
          <w:numId w:val="18"/>
        </w:numPr>
        <w:ind w:left="360" w:hanging="360"/>
        <w:rPr>
          <w:color w:val="auto"/>
          <w:szCs w:val="24"/>
        </w:rPr>
      </w:pPr>
      <w:r w:rsidRPr="001B6E36">
        <w:t>Contributes to the achievement of corporate objectives by ensuring that stakeholders are dealt with in a professional and timely manner.</w:t>
      </w:r>
    </w:p>
    <w:p w14:paraId="2C021AC5" w14:textId="27C96250" w:rsidR="00F167A5" w:rsidRPr="00796E74" w:rsidRDefault="00F167A5" w:rsidP="00CF070B">
      <w:pPr>
        <w:pStyle w:val="ListParagraph"/>
        <w:numPr>
          <w:ilvl w:val="0"/>
          <w:numId w:val="18"/>
        </w:numPr>
        <w:ind w:left="360" w:hanging="360"/>
        <w:rPr>
          <w:color w:val="auto"/>
          <w:szCs w:val="24"/>
        </w:rPr>
      </w:pPr>
      <w:r w:rsidRPr="00796E74">
        <w:rPr>
          <w:color w:val="auto"/>
          <w:szCs w:val="24"/>
        </w:rPr>
        <w:t>Exhibits accountability, professional integrity and respect consistent with DPC Values, the Code of Conduct, and the public sector Code of Ethics.</w:t>
      </w:r>
    </w:p>
    <w:p w14:paraId="67C9CBAC" w14:textId="77777777" w:rsidR="00F167A5" w:rsidRDefault="00F167A5" w:rsidP="00CF070B">
      <w:pPr>
        <w:pStyle w:val="ListParagraph"/>
        <w:numPr>
          <w:ilvl w:val="0"/>
          <w:numId w:val="18"/>
        </w:numPr>
        <w:ind w:left="360" w:hanging="360"/>
        <w:rPr>
          <w:color w:val="auto"/>
          <w:szCs w:val="24"/>
        </w:rPr>
      </w:pPr>
      <w:r w:rsidRPr="00405858">
        <w:rPr>
          <w:color w:val="auto"/>
          <w:szCs w:val="24"/>
        </w:rPr>
        <w:t xml:space="preserve">Takes reasonable care to protect your own safety and health at work, and that of others by co-operating with the safety and health policies and procedures of the Department and complying with all provisions of the </w:t>
      </w:r>
      <w:r w:rsidRPr="00A972A4">
        <w:rPr>
          <w:i/>
          <w:iCs/>
          <w:color w:val="auto"/>
          <w:szCs w:val="24"/>
        </w:rPr>
        <w:t>Work Health and Safety Act 2020</w:t>
      </w:r>
    </w:p>
    <w:p w14:paraId="43976E59" w14:textId="77777777" w:rsidR="00F167A5" w:rsidRDefault="00F167A5" w:rsidP="00CF070B">
      <w:pPr>
        <w:pStyle w:val="ListParagraph"/>
        <w:numPr>
          <w:ilvl w:val="0"/>
          <w:numId w:val="18"/>
        </w:numPr>
        <w:ind w:left="360" w:hanging="360"/>
        <w:rPr>
          <w:color w:val="auto"/>
          <w:szCs w:val="24"/>
        </w:rPr>
      </w:pPr>
      <w:r w:rsidRPr="0098212A">
        <w:rPr>
          <w:color w:val="auto"/>
          <w:szCs w:val="24"/>
        </w:rPr>
        <w:t>Undertakes other duties as required.</w:t>
      </w:r>
    </w:p>
    <w:p w14:paraId="7E03F572" w14:textId="522F4435" w:rsidR="00C42E57" w:rsidRPr="00C42E57" w:rsidRDefault="00C42E57"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Building Leadership Impact</w:t>
      </w:r>
    </w:p>
    <w:p w14:paraId="0BA5FF8F" w14:textId="77777777" w:rsidR="002E3911" w:rsidRDefault="00957200" w:rsidP="00957200">
      <w:pPr>
        <w:autoSpaceDE w:val="0"/>
        <w:autoSpaceDN w:val="0"/>
        <w:adjustRightInd w:val="0"/>
        <w:spacing w:before="120" w:after="120" w:line="240" w:lineRule="auto"/>
      </w:pPr>
      <w:r w:rsidRPr="00957200">
        <w:t xml:space="preserve">We consider all our people are leaders and aim to build the impact of their leadership in our important work for the sector and community. As such we expect all our people to adopt the expected behaviours and associated mindsets outlined in </w:t>
      </w:r>
      <w:hyperlink r:id="rId11" w:history="1">
        <w:r w:rsidRPr="0067139A">
          <w:rPr>
            <w:rStyle w:val="Hyperlink"/>
            <w:color w:val="6AA388"/>
          </w:rPr>
          <w:t>Building Leadership Impact</w:t>
        </w:r>
      </w:hyperlink>
      <w:r w:rsidRPr="00957200">
        <w:t xml:space="preserve"> and described fully in </w:t>
      </w:r>
      <w:hyperlink r:id="rId12" w:history="1">
        <w:r w:rsidRPr="0067139A">
          <w:rPr>
            <w:rStyle w:val="Hyperlink"/>
            <w:color w:val="6AA388"/>
          </w:rPr>
          <w:t>Leadership Expectations</w:t>
        </w:r>
      </w:hyperlink>
      <w:r w:rsidRPr="00957200">
        <w:t xml:space="preserve">. </w:t>
      </w:r>
    </w:p>
    <w:p w14:paraId="2EC21895" w14:textId="26D9C6A2" w:rsidR="00957200" w:rsidRPr="00957200" w:rsidRDefault="00957200" w:rsidP="00957200">
      <w:pPr>
        <w:autoSpaceDE w:val="0"/>
        <w:autoSpaceDN w:val="0"/>
        <w:adjustRightInd w:val="0"/>
        <w:spacing w:before="120" w:after="120" w:line="240" w:lineRule="auto"/>
      </w:pPr>
      <w:r w:rsidRPr="00957200">
        <w:t xml:space="preserve">The leadership context of this position is </w:t>
      </w:r>
      <w:hyperlink r:id="rId13" w:history="1">
        <w:r w:rsidR="00C70D65">
          <w:rPr>
            <w:rStyle w:val="Hyperlink"/>
            <w:color w:val="6AA388"/>
          </w:rPr>
          <w:t>Personal Leadership</w:t>
        </w:r>
      </w:hyperlink>
      <w:r w:rsidRPr="00957200">
        <w:t xml:space="preserve"> and there are opportunities for professional development and growth</w:t>
      </w:r>
      <w:r w:rsidRPr="00957200">
        <w:rPr>
          <w:color w:val="000000"/>
        </w:rPr>
        <w:t>.</w:t>
      </w:r>
    </w:p>
    <w:p w14:paraId="53311947" w14:textId="1AD4F115" w:rsidR="00B646FB" w:rsidRPr="00C42E57" w:rsidRDefault="007421AD"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lastRenderedPageBreak/>
        <w:t>Work Related Capabilities (Selection Criteria)</w:t>
      </w:r>
    </w:p>
    <w:p w14:paraId="2DDAB411" w14:textId="77777777" w:rsidR="001B6E36" w:rsidRPr="001B6E36" w:rsidRDefault="001B6E36" w:rsidP="002E3911">
      <w:pPr>
        <w:pStyle w:val="ListParagraph"/>
        <w:numPr>
          <w:ilvl w:val="0"/>
          <w:numId w:val="34"/>
        </w:numPr>
        <w:autoSpaceDE w:val="0"/>
        <w:autoSpaceDN w:val="0"/>
        <w:adjustRightInd w:val="0"/>
        <w:spacing w:before="120" w:line="276" w:lineRule="auto"/>
        <w:contextualSpacing/>
        <w:jc w:val="both"/>
        <w:rPr>
          <w:szCs w:val="24"/>
        </w:rPr>
      </w:pPr>
      <w:r w:rsidRPr="001B6E36">
        <w:rPr>
          <w:szCs w:val="24"/>
        </w:rPr>
        <w:t>Good verbal, written, negotiation and interpersonal communication skills, including the ability to liaise with internal and external stakeholders.</w:t>
      </w:r>
    </w:p>
    <w:p w14:paraId="3A3AC778" w14:textId="77777777" w:rsidR="001B6E36" w:rsidRPr="001B6E36" w:rsidRDefault="001B6E36" w:rsidP="002E3911">
      <w:pPr>
        <w:pStyle w:val="ListParagraph"/>
        <w:numPr>
          <w:ilvl w:val="0"/>
          <w:numId w:val="34"/>
        </w:numPr>
        <w:autoSpaceDE w:val="0"/>
        <w:autoSpaceDN w:val="0"/>
        <w:adjustRightInd w:val="0"/>
        <w:spacing w:before="120" w:line="276" w:lineRule="auto"/>
        <w:contextualSpacing/>
        <w:jc w:val="both"/>
        <w:rPr>
          <w:szCs w:val="24"/>
        </w:rPr>
      </w:pPr>
      <w:r w:rsidRPr="001B6E36">
        <w:rPr>
          <w:szCs w:val="24"/>
        </w:rPr>
        <w:t xml:space="preserve">Good conceptual and analytical skills, including the ability to undertake research </w:t>
      </w:r>
      <w:proofErr w:type="gramStart"/>
      <w:r w:rsidRPr="001B6E36">
        <w:rPr>
          <w:szCs w:val="24"/>
        </w:rPr>
        <w:t>in order to</w:t>
      </w:r>
      <w:proofErr w:type="gramEnd"/>
      <w:r w:rsidRPr="001B6E36">
        <w:rPr>
          <w:szCs w:val="24"/>
        </w:rPr>
        <w:t xml:space="preserve"> solve problems.</w:t>
      </w:r>
    </w:p>
    <w:p w14:paraId="7C031185" w14:textId="77777777" w:rsidR="001B6E36" w:rsidRPr="001B6E36" w:rsidRDefault="001B6E36" w:rsidP="002E3911">
      <w:pPr>
        <w:pStyle w:val="ListParagraph"/>
        <w:numPr>
          <w:ilvl w:val="0"/>
          <w:numId w:val="34"/>
        </w:numPr>
        <w:autoSpaceDE w:val="0"/>
        <w:autoSpaceDN w:val="0"/>
        <w:adjustRightInd w:val="0"/>
        <w:spacing w:before="120" w:line="276" w:lineRule="auto"/>
        <w:contextualSpacing/>
        <w:jc w:val="both"/>
        <w:rPr>
          <w:szCs w:val="24"/>
        </w:rPr>
      </w:pPr>
      <w:r w:rsidRPr="001B6E36">
        <w:rPr>
          <w:szCs w:val="24"/>
        </w:rPr>
        <w:t>Good planning and organisational skills with the ability to support projects, administer contracts and resources to achieve desired outcomes.</w:t>
      </w:r>
    </w:p>
    <w:p w14:paraId="1CC40DBC" w14:textId="77777777" w:rsidR="001B6E36" w:rsidRPr="001B6E36" w:rsidRDefault="001B6E36" w:rsidP="002E3911">
      <w:pPr>
        <w:pStyle w:val="ListParagraph"/>
        <w:numPr>
          <w:ilvl w:val="0"/>
          <w:numId w:val="34"/>
        </w:numPr>
        <w:autoSpaceDE w:val="0"/>
        <w:autoSpaceDN w:val="0"/>
        <w:adjustRightInd w:val="0"/>
        <w:spacing w:before="120" w:line="276" w:lineRule="auto"/>
        <w:contextualSpacing/>
        <w:jc w:val="both"/>
        <w:rPr>
          <w:szCs w:val="24"/>
        </w:rPr>
      </w:pPr>
      <w:r w:rsidRPr="001B6E36">
        <w:rPr>
          <w:szCs w:val="24"/>
        </w:rPr>
        <w:t>Knowledge of, and experience in, project management methodologies and processes, or contract administration and support methodologies and processes.</w:t>
      </w:r>
    </w:p>
    <w:p w14:paraId="7204F3E3" w14:textId="49560C35" w:rsidR="00957200" w:rsidRPr="00343EA2" w:rsidRDefault="00957200" w:rsidP="00343EA2">
      <w:pPr>
        <w:spacing w:before="240" w:line="240" w:lineRule="auto"/>
        <w:rPr>
          <w:rFonts w:eastAsiaTheme="majorEastAsia" w:cs="Times New Roman (Headings CS)"/>
          <w:b/>
          <w:color w:val="CC5733"/>
        </w:rPr>
      </w:pPr>
      <w:r>
        <w:rPr>
          <w:rFonts w:eastAsiaTheme="majorEastAsia" w:cs="Times New Roman (Headings CS)"/>
          <w:b/>
          <w:color w:val="CC5733"/>
        </w:rPr>
        <w:t>Employment Conditions</w:t>
      </w:r>
    </w:p>
    <w:p w14:paraId="6EB0A4E9" w14:textId="6BEB2A73" w:rsidR="003928D9" w:rsidRDefault="003928D9" w:rsidP="00C45F38">
      <w:r>
        <w:t xml:space="preserve">To be eligible you must hold or </w:t>
      </w:r>
      <w:r w:rsidRPr="003928D9">
        <w:t xml:space="preserve">obtain a valid Working </w:t>
      </w:r>
      <w:r w:rsidR="00E96578" w:rsidRPr="003928D9">
        <w:t>with</w:t>
      </w:r>
      <w:r w:rsidRPr="003928D9">
        <w:t xml:space="preserve"> Children Check before </w:t>
      </w:r>
      <w:r>
        <w:t>commencement of employment.</w:t>
      </w:r>
    </w:p>
    <w:p w14:paraId="268B2915" w14:textId="2EFE5932" w:rsidR="00631D31" w:rsidRPr="00D007E3" w:rsidRDefault="009514B1" w:rsidP="00C45F38">
      <w:r>
        <w:t>For permanent appointments y</w:t>
      </w:r>
      <w:r w:rsidR="00394896" w:rsidRPr="00070651">
        <w:t xml:space="preserve">ou must also be eligible to live and work in Australia indefinitely. </w:t>
      </w:r>
      <w:r w:rsidR="00631D31" w:rsidRPr="00D007E3">
        <w:t xml:space="preserve">Employees engaged on fixed term appointments </w:t>
      </w:r>
      <w:r w:rsidR="00F80DEC">
        <w:t>will require</w:t>
      </w:r>
      <w:r w:rsidR="00AE1B75" w:rsidRPr="00D007E3">
        <w:t xml:space="preserve"> </w:t>
      </w:r>
      <w:r w:rsidR="00631D31" w:rsidRPr="00D007E3">
        <w:t>a valid work visa for the duration of the</w:t>
      </w:r>
      <w:r w:rsidR="00AE1B75">
        <w:t>ir</w:t>
      </w:r>
      <w:r w:rsidR="00631D31" w:rsidRPr="00D007E3">
        <w:t xml:space="preserve"> contract.</w:t>
      </w:r>
    </w:p>
    <w:p w14:paraId="276BE7AD" w14:textId="773607F2" w:rsidR="005A2701" w:rsidRPr="004A3655" w:rsidRDefault="00631D31" w:rsidP="005A2701">
      <w:r w:rsidRPr="00D007E3">
        <w:t>Appointment</w:t>
      </w:r>
      <w:r w:rsidR="00F80DEC">
        <w:t>s</w:t>
      </w:r>
      <w:r w:rsidRPr="00D007E3">
        <w:t xml:space="preserve"> </w:t>
      </w:r>
      <w:r w:rsidR="00F80DEC">
        <w:t>are</w:t>
      </w:r>
      <w:r w:rsidRPr="00D007E3">
        <w:t xml:space="preserve"> </w:t>
      </w:r>
      <w:r w:rsidR="00394896">
        <w:t xml:space="preserve">also </w:t>
      </w:r>
      <w:r w:rsidR="003D1C3B">
        <w:t>subject to</w:t>
      </w:r>
      <w:r w:rsidR="00AE1B75">
        <w:t xml:space="preserve"> </w:t>
      </w:r>
      <w:r w:rsidR="00394896">
        <w:t xml:space="preserve">a </w:t>
      </w:r>
      <w:r w:rsidRPr="00D007E3">
        <w:t>100-point identification check and</w:t>
      </w:r>
      <w:r w:rsidR="00394896">
        <w:t xml:space="preserve"> </w:t>
      </w:r>
      <w:r w:rsidR="00F80DEC">
        <w:t xml:space="preserve">satisfactory </w:t>
      </w:r>
      <w:r w:rsidRPr="00D007E3">
        <w:t>Criminal Records Screening Clearance</w:t>
      </w:r>
      <w:r w:rsidR="00394896">
        <w:t>.</w:t>
      </w:r>
    </w:p>
    <w:p w14:paraId="6D4F21E1" w14:textId="483B5655" w:rsidR="005A2701" w:rsidRPr="00070651" w:rsidRDefault="005A2701" w:rsidP="00FF59CB">
      <w:pPr>
        <w:pStyle w:val="Heading1"/>
        <w:rPr>
          <w:sz w:val="24"/>
          <w:szCs w:val="24"/>
        </w:rPr>
      </w:pPr>
      <w:r w:rsidRPr="00070651">
        <w:rPr>
          <w:sz w:val="24"/>
          <w:szCs w:val="24"/>
        </w:rPr>
        <w:t>Certification</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678"/>
      </w:tblGrid>
      <w:tr w:rsidR="00772241" w:rsidRPr="005A2701" w14:paraId="1B760A90" w14:textId="77777777" w:rsidTr="00CD3B25">
        <w:trPr>
          <w:trHeight w:val="659"/>
        </w:trPr>
        <w:tc>
          <w:tcPr>
            <w:tcW w:w="4815" w:type="dxa"/>
          </w:tcPr>
          <w:p w14:paraId="019B14E0" w14:textId="5D6D684F" w:rsidR="00772241" w:rsidRPr="00772241" w:rsidRDefault="00772241" w:rsidP="00BF20C5">
            <w:pPr>
              <w:pStyle w:val="Heading3"/>
              <w:ind w:left="-113"/>
              <w:rPr>
                <w:sz w:val="22"/>
                <w:szCs w:val="22"/>
              </w:rPr>
            </w:pPr>
            <w:r w:rsidRPr="00772241">
              <w:rPr>
                <w:sz w:val="22"/>
                <w:szCs w:val="22"/>
              </w:rPr>
              <w:t>Authorising Signature:</w:t>
            </w:r>
          </w:p>
        </w:tc>
        <w:tc>
          <w:tcPr>
            <w:tcW w:w="4678" w:type="dxa"/>
          </w:tcPr>
          <w:p w14:paraId="05F6E0BC" w14:textId="01287DA1" w:rsidR="00772241" w:rsidRPr="00772241" w:rsidRDefault="00772241" w:rsidP="00C47631">
            <w:pPr>
              <w:pStyle w:val="Heading3"/>
              <w:rPr>
                <w:sz w:val="22"/>
                <w:szCs w:val="22"/>
              </w:rPr>
            </w:pPr>
            <w:r w:rsidRPr="00772241">
              <w:rPr>
                <w:sz w:val="22"/>
                <w:szCs w:val="22"/>
              </w:rPr>
              <w:t>People Services:</w:t>
            </w:r>
          </w:p>
        </w:tc>
      </w:tr>
      <w:tr w:rsidR="00772241" w:rsidRPr="005A2701" w14:paraId="6C4AC279" w14:textId="77777777" w:rsidTr="00CD3B25">
        <w:trPr>
          <w:trHeight w:val="542"/>
        </w:trPr>
        <w:tc>
          <w:tcPr>
            <w:tcW w:w="4815" w:type="dxa"/>
          </w:tcPr>
          <w:p w14:paraId="39B9EABA" w14:textId="78240578" w:rsidR="00772241" w:rsidRPr="00772241" w:rsidRDefault="00772241" w:rsidP="0033476B">
            <w:pPr>
              <w:pStyle w:val="Heading3"/>
              <w:ind w:hanging="113"/>
              <w:rPr>
                <w:sz w:val="22"/>
                <w:szCs w:val="22"/>
              </w:rPr>
            </w:pPr>
            <w:r w:rsidRPr="00772241">
              <w:rPr>
                <w:sz w:val="22"/>
                <w:szCs w:val="22"/>
              </w:rPr>
              <w:t>Date:</w:t>
            </w:r>
          </w:p>
        </w:tc>
        <w:tc>
          <w:tcPr>
            <w:tcW w:w="4678" w:type="dxa"/>
          </w:tcPr>
          <w:p w14:paraId="2CC297B8" w14:textId="44A3D1A1" w:rsidR="00772241" w:rsidRPr="00772241" w:rsidRDefault="00772241" w:rsidP="00C47631">
            <w:pPr>
              <w:pStyle w:val="Heading3"/>
              <w:rPr>
                <w:sz w:val="22"/>
                <w:szCs w:val="22"/>
              </w:rPr>
            </w:pPr>
            <w:r w:rsidRPr="00772241">
              <w:rPr>
                <w:sz w:val="22"/>
                <w:szCs w:val="22"/>
              </w:rPr>
              <w:t>Date:</w:t>
            </w:r>
          </w:p>
        </w:tc>
      </w:tr>
    </w:tbl>
    <w:p w14:paraId="48A53E74" w14:textId="77777777" w:rsidR="00756536" w:rsidRPr="00D007E3" w:rsidRDefault="00756536" w:rsidP="005A2701">
      <w:pPr>
        <w:rPr>
          <w:rFonts w:ascii="Neue Haas Grotesk Text Pro" w:hAnsi="Neue Haas Grotesk Text Pro"/>
        </w:rPr>
      </w:pPr>
    </w:p>
    <w:sectPr w:rsidR="00756536" w:rsidRPr="00D007E3" w:rsidSect="00280C06">
      <w:headerReference w:type="default" r:id="rId14"/>
      <w:footerReference w:type="even" r:id="rId15"/>
      <w:footerReference w:type="default" r:id="rId16"/>
      <w:headerReference w:type="first" r:id="rId17"/>
      <w:footerReference w:type="first" r:id="rId18"/>
      <w:pgSz w:w="11906" w:h="16838"/>
      <w:pgMar w:top="1633" w:right="1331" w:bottom="105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A6A07" w14:textId="77777777" w:rsidR="008840C0" w:rsidRDefault="008840C0" w:rsidP="00756536">
      <w:pPr>
        <w:spacing w:after="0" w:line="240" w:lineRule="auto"/>
      </w:pPr>
      <w:r>
        <w:separator/>
      </w:r>
    </w:p>
  </w:endnote>
  <w:endnote w:type="continuationSeparator" w:id="0">
    <w:p w14:paraId="1EC692D9" w14:textId="77777777" w:rsidR="008840C0" w:rsidRDefault="008840C0" w:rsidP="007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charset w:val="00"/>
    <w:family w:val="swiss"/>
    <w:pitch w:val="variable"/>
    <w:sig w:usb0="00000007" w:usb1="00000000" w:usb2="00000000" w:usb3="00000000" w:csb0="00000093"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015372"/>
      <w:docPartObj>
        <w:docPartGallery w:val="Page Numbers (Bottom of Page)"/>
        <w:docPartUnique/>
      </w:docPartObj>
    </w:sdtPr>
    <w:sdtContent>
      <w:p w14:paraId="6CD96385" w14:textId="2A9E5796" w:rsidR="0033476B" w:rsidRDefault="0033476B" w:rsidP="00207A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EFF34" w14:textId="77777777" w:rsidR="0033476B" w:rsidRDefault="0033476B" w:rsidP="00334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892396"/>
      <w:docPartObj>
        <w:docPartGallery w:val="Page Numbers (Bottom of Page)"/>
        <w:docPartUnique/>
      </w:docPartObj>
    </w:sdtPr>
    <w:sdtEndPr>
      <w:rPr>
        <w:rStyle w:val="PageNumber"/>
        <w:color w:val="C24227"/>
        <w:sz w:val="20"/>
        <w:szCs w:val="20"/>
      </w:rPr>
    </w:sdtEndPr>
    <w:sdtContent>
      <w:p w14:paraId="617EB55A" w14:textId="0EE884AC"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2</w:t>
        </w:r>
        <w:r w:rsidRPr="0033476B">
          <w:rPr>
            <w:rStyle w:val="PageNumber"/>
            <w:color w:val="C24227"/>
            <w:sz w:val="20"/>
            <w:szCs w:val="20"/>
          </w:rPr>
          <w:fldChar w:fldCharType="end"/>
        </w:r>
      </w:p>
    </w:sdtContent>
  </w:sdt>
  <w:p w14:paraId="339A2963" w14:textId="0E81B6B4" w:rsidR="0033476B" w:rsidRPr="0033476B" w:rsidRDefault="0033476B" w:rsidP="0033476B">
    <w:pPr>
      <w:pStyle w:val="Footer"/>
      <w:ind w:right="360"/>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C24227"/>
        <w:sz w:val="22"/>
        <w:szCs w:val="22"/>
      </w:rPr>
      <w:id w:val="2073308761"/>
      <w:docPartObj>
        <w:docPartGallery w:val="Page Numbers (Bottom of Page)"/>
        <w:docPartUnique/>
      </w:docPartObj>
    </w:sdtPr>
    <w:sdtEndPr>
      <w:rPr>
        <w:rStyle w:val="PageNumber"/>
        <w:sz w:val="20"/>
        <w:szCs w:val="20"/>
      </w:rPr>
    </w:sdtEndPr>
    <w:sdtContent>
      <w:p w14:paraId="7E362E97" w14:textId="360323F0"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1</w:t>
        </w:r>
        <w:r w:rsidRPr="0033476B">
          <w:rPr>
            <w:rStyle w:val="PageNumber"/>
            <w:color w:val="C24227"/>
            <w:sz w:val="20"/>
            <w:szCs w:val="20"/>
          </w:rPr>
          <w:fldChar w:fldCharType="end"/>
        </w:r>
      </w:p>
    </w:sdtContent>
  </w:sdt>
  <w:p w14:paraId="03B66A20" w14:textId="04D8CEBD" w:rsidR="0033476B" w:rsidRPr="0033476B" w:rsidRDefault="0033476B" w:rsidP="0033476B">
    <w:pPr>
      <w:pStyle w:val="Footer"/>
      <w:ind w:right="284"/>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5072E" w14:textId="77777777" w:rsidR="008840C0" w:rsidRDefault="008840C0" w:rsidP="00756536">
      <w:pPr>
        <w:spacing w:after="0" w:line="240" w:lineRule="auto"/>
      </w:pPr>
      <w:r>
        <w:separator/>
      </w:r>
    </w:p>
  </w:footnote>
  <w:footnote w:type="continuationSeparator" w:id="0">
    <w:p w14:paraId="25AB3DD8" w14:textId="77777777" w:rsidR="008840C0" w:rsidRDefault="008840C0" w:rsidP="0075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D563911" w:rsidR="00756536" w:rsidRDefault="00756536">
    <w:pPr>
      <w:pStyle w:val="Header"/>
    </w:pPr>
    <w:r>
      <w:rPr>
        <w:noProof/>
      </w:rPr>
      <w:drawing>
        <wp:anchor distT="0" distB="0" distL="114300" distR="114300" simplePos="0" relativeHeight="251658240" behindDoc="1" locked="0" layoutInCell="1" allowOverlap="1" wp14:anchorId="57D31028" wp14:editId="04DD9B9C">
          <wp:simplePos x="0" y="0"/>
          <wp:positionH relativeFrom="page">
            <wp:posOffset>15903</wp:posOffset>
          </wp:positionH>
          <wp:positionV relativeFrom="paragraph">
            <wp:posOffset>-450215</wp:posOffset>
          </wp:positionV>
          <wp:extent cx="7591573" cy="1041621"/>
          <wp:effectExtent l="0" t="0" r="0" b="6350"/>
          <wp:wrapNone/>
          <wp:docPr id="283932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85560" cy="105451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06B9E2DB" w:rsidR="00756536" w:rsidRPr="00AA31C0" w:rsidRDefault="0061254A" w:rsidP="00AA31C0">
    <w:pPr>
      <w:pStyle w:val="Header"/>
      <w:tabs>
        <w:tab w:val="clear" w:pos="4513"/>
        <w:tab w:val="clear" w:pos="9026"/>
        <w:tab w:val="right" w:pos="9498"/>
      </w:tabs>
      <w:rPr>
        <w:sz w:val="20"/>
        <w:szCs w:val="20"/>
      </w:rPr>
    </w:pPr>
    <w:r w:rsidRPr="00AA31C0">
      <w:rPr>
        <w:noProof/>
        <w:sz w:val="20"/>
        <w:szCs w:val="20"/>
      </w:rPr>
      <w:drawing>
        <wp:anchor distT="0" distB="0" distL="114300" distR="114300" simplePos="0" relativeHeight="251659264" behindDoc="1" locked="0" layoutInCell="1" allowOverlap="1" wp14:anchorId="5E02E3F8" wp14:editId="42455043">
          <wp:simplePos x="0" y="0"/>
          <wp:positionH relativeFrom="column">
            <wp:posOffset>-802640</wp:posOffset>
          </wp:positionH>
          <wp:positionV relativeFrom="paragraph">
            <wp:posOffset>-442595</wp:posOffset>
          </wp:positionV>
          <wp:extent cx="7664450" cy="1592580"/>
          <wp:effectExtent l="0" t="0" r="0" b="7620"/>
          <wp:wrapTight wrapText="bothSides">
            <wp:wrapPolygon edited="0">
              <wp:start x="0" y="0"/>
              <wp:lineTo x="0" y="21445"/>
              <wp:lineTo x="21528" y="21445"/>
              <wp:lineTo x="21528" y="0"/>
              <wp:lineTo x="0" y="0"/>
            </wp:wrapPolygon>
          </wp:wrapTight>
          <wp:docPr id="1871129408" name="Picture 1" descr="A white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29408" name="Picture 1" descr="A white background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4450" cy="1592580"/>
                  </a:xfrm>
                  <a:prstGeom prst="rect">
                    <a:avLst/>
                  </a:prstGeom>
                </pic:spPr>
              </pic:pic>
            </a:graphicData>
          </a:graphic>
          <wp14:sizeRelH relativeFrom="margin">
            <wp14:pctWidth>0</wp14:pctWidth>
          </wp14:sizeRelH>
          <wp14:sizeRelV relativeFrom="margin">
            <wp14:pctHeight>0</wp14:pctHeight>
          </wp14:sizeRelV>
        </wp:anchor>
      </w:drawing>
    </w:r>
    <w:r w:rsidR="00AA31C0" w:rsidRPr="00AA31C0">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D85"/>
    <w:multiLevelType w:val="hybridMultilevel"/>
    <w:tmpl w:val="CF686CA4"/>
    <w:lvl w:ilvl="0" w:tplc="8C3C5F26">
      <w:start w:val="1"/>
      <w:numFmt w:val="decimal"/>
      <w:lvlText w:val="%1.1"/>
      <w:lvlJc w:val="left"/>
      <w:pPr>
        <w:ind w:left="423" w:hanging="360"/>
      </w:pPr>
      <w:rPr>
        <w:rFonts w:hint="default"/>
      </w:r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1" w15:restartNumberingAfterBreak="0">
    <w:nsid w:val="0965185E"/>
    <w:multiLevelType w:val="hybridMultilevel"/>
    <w:tmpl w:val="5260BB2A"/>
    <w:lvl w:ilvl="0" w:tplc="F914FC80">
      <w:start w:val="1"/>
      <w:numFmt w:val="bullet"/>
      <w:pStyle w:val="tabledot"/>
      <w:lvlText w:val=""/>
      <w:lvlJc w:val="left"/>
      <w:pPr>
        <w:ind w:left="360" w:hanging="360"/>
      </w:pPr>
      <w:rPr>
        <w:rFonts w:ascii="Symbol" w:hAnsi="Symbol" w:hint="default"/>
      </w:rPr>
    </w:lvl>
    <w:lvl w:ilvl="1" w:tplc="0C090003" w:tentative="1">
      <w:start w:val="1"/>
      <w:numFmt w:val="bullet"/>
      <w:lvlText w:val="o"/>
      <w:lvlJc w:val="left"/>
      <w:pPr>
        <w:ind w:left="1270" w:hanging="360"/>
      </w:pPr>
      <w:rPr>
        <w:rFonts w:ascii="Courier New" w:hAnsi="Courier New" w:cs="Courier New" w:hint="default"/>
      </w:rPr>
    </w:lvl>
    <w:lvl w:ilvl="2" w:tplc="0C090005" w:tentative="1">
      <w:start w:val="1"/>
      <w:numFmt w:val="bullet"/>
      <w:lvlText w:val=""/>
      <w:lvlJc w:val="left"/>
      <w:pPr>
        <w:ind w:left="1990" w:hanging="360"/>
      </w:pPr>
      <w:rPr>
        <w:rFonts w:ascii="Wingdings" w:hAnsi="Wingdings" w:hint="default"/>
      </w:rPr>
    </w:lvl>
    <w:lvl w:ilvl="3" w:tplc="0C090001" w:tentative="1">
      <w:start w:val="1"/>
      <w:numFmt w:val="bullet"/>
      <w:lvlText w:val=""/>
      <w:lvlJc w:val="left"/>
      <w:pPr>
        <w:ind w:left="2710" w:hanging="360"/>
      </w:pPr>
      <w:rPr>
        <w:rFonts w:ascii="Symbol" w:hAnsi="Symbol" w:hint="default"/>
      </w:rPr>
    </w:lvl>
    <w:lvl w:ilvl="4" w:tplc="0C090003" w:tentative="1">
      <w:start w:val="1"/>
      <w:numFmt w:val="bullet"/>
      <w:lvlText w:val="o"/>
      <w:lvlJc w:val="left"/>
      <w:pPr>
        <w:ind w:left="3430" w:hanging="360"/>
      </w:pPr>
      <w:rPr>
        <w:rFonts w:ascii="Courier New" w:hAnsi="Courier New" w:cs="Courier New" w:hint="default"/>
      </w:rPr>
    </w:lvl>
    <w:lvl w:ilvl="5" w:tplc="0C090005" w:tentative="1">
      <w:start w:val="1"/>
      <w:numFmt w:val="bullet"/>
      <w:lvlText w:val=""/>
      <w:lvlJc w:val="left"/>
      <w:pPr>
        <w:ind w:left="4150" w:hanging="360"/>
      </w:pPr>
      <w:rPr>
        <w:rFonts w:ascii="Wingdings" w:hAnsi="Wingdings" w:hint="default"/>
      </w:rPr>
    </w:lvl>
    <w:lvl w:ilvl="6" w:tplc="0C090001" w:tentative="1">
      <w:start w:val="1"/>
      <w:numFmt w:val="bullet"/>
      <w:lvlText w:val=""/>
      <w:lvlJc w:val="left"/>
      <w:pPr>
        <w:ind w:left="4870" w:hanging="360"/>
      </w:pPr>
      <w:rPr>
        <w:rFonts w:ascii="Symbol" w:hAnsi="Symbol" w:hint="default"/>
      </w:rPr>
    </w:lvl>
    <w:lvl w:ilvl="7" w:tplc="0C090003" w:tentative="1">
      <w:start w:val="1"/>
      <w:numFmt w:val="bullet"/>
      <w:lvlText w:val="o"/>
      <w:lvlJc w:val="left"/>
      <w:pPr>
        <w:ind w:left="5590" w:hanging="360"/>
      </w:pPr>
      <w:rPr>
        <w:rFonts w:ascii="Courier New" w:hAnsi="Courier New" w:cs="Courier New" w:hint="default"/>
      </w:rPr>
    </w:lvl>
    <w:lvl w:ilvl="8" w:tplc="0C090005" w:tentative="1">
      <w:start w:val="1"/>
      <w:numFmt w:val="bullet"/>
      <w:lvlText w:val=""/>
      <w:lvlJc w:val="left"/>
      <w:pPr>
        <w:ind w:left="6310" w:hanging="360"/>
      </w:pPr>
      <w:rPr>
        <w:rFonts w:ascii="Wingdings" w:hAnsi="Wingdings" w:hint="default"/>
      </w:rPr>
    </w:lvl>
  </w:abstractNum>
  <w:abstractNum w:abstractNumId="2" w15:restartNumberingAfterBreak="0">
    <w:nsid w:val="0C3918FD"/>
    <w:multiLevelType w:val="hybridMultilevel"/>
    <w:tmpl w:val="152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D3304FD"/>
    <w:multiLevelType w:val="multilevel"/>
    <w:tmpl w:val="F2346CE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C93C91"/>
    <w:multiLevelType w:val="multilevel"/>
    <w:tmpl w:val="6F101400"/>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1E500757"/>
    <w:multiLevelType w:val="hybridMultilevel"/>
    <w:tmpl w:val="6A5E1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6B78EC"/>
    <w:multiLevelType w:val="hybridMultilevel"/>
    <w:tmpl w:val="0666C2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9"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1B52A5"/>
    <w:multiLevelType w:val="hybridMultilevel"/>
    <w:tmpl w:val="84D8C568"/>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CA0F3E"/>
    <w:multiLevelType w:val="hybridMultilevel"/>
    <w:tmpl w:val="F5267152"/>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E1B5FC9"/>
    <w:multiLevelType w:val="hybridMultilevel"/>
    <w:tmpl w:val="E4D2F84C"/>
    <w:lvl w:ilvl="0" w:tplc="8C3C5F26">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0E76F0"/>
    <w:multiLevelType w:val="hybridMultilevel"/>
    <w:tmpl w:val="CCFA1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52FE2"/>
    <w:multiLevelType w:val="hybridMultilevel"/>
    <w:tmpl w:val="436E44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B0534B"/>
    <w:multiLevelType w:val="hybridMultilevel"/>
    <w:tmpl w:val="1C2060F6"/>
    <w:lvl w:ilvl="0" w:tplc="9410AA78">
      <w:start w:val="1"/>
      <w:numFmt w:val="decimal"/>
      <w:lvlText w:val="%1.1,1.2"/>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BBD392A"/>
    <w:multiLevelType w:val="hybridMultilevel"/>
    <w:tmpl w:val="F6E8A39A"/>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E1546A"/>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A064443"/>
    <w:multiLevelType w:val="hybridMultilevel"/>
    <w:tmpl w:val="04D6E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1311FD"/>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C210BDC"/>
    <w:multiLevelType w:val="hybridMultilevel"/>
    <w:tmpl w:val="58321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376DC1"/>
    <w:multiLevelType w:val="hybridMultilevel"/>
    <w:tmpl w:val="CA4A1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num w:numId="1" w16cid:durableId="1918785469">
    <w:abstractNumId w:val="11"/>
  </w:num>
  <w:num w:numId="2" w16cid:durableId="13762725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8"/>
  </w:num>
  <w:num w:numId="4" w16cid:durableId="1326056679">
    <w:abstractNumId w:val="21"/>
  </w:num>
  <w:num w:numId="5" w16cid:durableId="165638337">
    <w:abstractNumId w:val="18"/>
  </w:num>
  <w:num w:numId="6" w16cid:durableId="1123695853">
    <w:abstractNumId w:val="17"/>
  </w:num>
  <w:num w:numId="7" w16cid:durableId="1581137968">
    <w:abstractNumId w:val="7"/>
  </w:num>
  <w:num w:numId="8" w16cid:durableId="210381380">
    <w:abstractNumId w:val="9"/>
  </w:num>
  <w:num w:numId="9" w16cid:durableId="1667249357">
    <w:abstractNumId w:val="32"/>
  </w:num>
  <w:num w:numId="10" w16cid:durableId="1636334645">
    <w:abstractNumId w:val="20"/>
  </w:num>
  <w:num w:numId="11" w16cid:durableId="1816409002">
    <w:abstractNumId w:val="14"/>
  </w:num>
  <w:num w:numId="12" w16cid:durableId="1771470451">
    <w:abstractNumId w:val="16"/>
  </w:num>
  <w:num w:numId="13" w16cid:durableId="2042582278">
    <w:abstractNumId w:val="30"/>
  </w:num>
  <w:num w:numId="14" w16cid:durableId="301085470">
    <w:abstractNumId w:val="23"/>
  </w:num>
  <w:num w:numId="15" w16cid:durableId="24185399">
    <w:abstractNumId w:val="3"/>
  </w:num>
  <w:num w:numId="16" w16cid:durableId="169490687">
    <w:abstractNumId w:val="19"/>
  </w:num>
  <w:num w:numId="17" w16cid:durableId="629700953">
    <w:abstractNumId w:val="2"/>
  </w:num>
  <w:num w:numId="18" w16cid:durableId="1341004227">
    <w:abstractNumId w:val="25"/>
  </w:num>
  <w:num w:numId="19" w16cid:durableId="1468815981">
    <w:abstractNumId w:val="24"/>
  </w:num>
  <w:num w:numId="20" w16cid:durableId="1483697836">
    <w:abstractNumId w:val="0"/>
  </w:num>
  <w:num w:numId="21" w16cid:durableId="1199708562">
    <w:abstractNumId w:val="4"/>
  </w:num>
  <w:num w:numId="22" w16cid:durableId="666324951">
    <w:abstractNumId w:val="13"/>
  </w:num>
  <w:num w:numId="23" w16cid:durableId="1153444563">
    <w:abstractNumId w:val="6"/>
  </w:num>
  <w:num w:numId="24" w16cid:durableId="1034843463">
    <w:abstractNumId w:val="26"/>
  </w:num>
  <w:num w:numId="25" w16cid:durableId="1168908575">
    <w:abstractNumId w:val="28"/>
  </w:num>
  <w:num w:numId="26" w16cid:durableId="673799948">
    <w:abstractNumId w:val="10"/>
  </w:num>
  <w:num w:numId="27" w16cid:durableId="645204828">
    <w:abstractNumId w:val="1"/>
  </w:num>
  <w:num w:numId="28" w16cid:durableId="1595749989">
    <w:abstractNumId w:val="29"/>
  </w:num>
  <w:num w:numId="29" w16cid:durableId="390466555">
    <w:abstractNumId w:val="15"/>
  </w:num>
  <w:num w:numId="30" w16cid:durableId="1412460009">
    <w:abstractNumId w:val="31"/>
  </w:num>
  <w:num w:numId="31" w16cid:durableId="284430049">
    <w:abstractNumId w:val="5"/>
  </w:num>
  <w:num w:numId="32" w16cid:durableId="1126850174">
    <w:abstractNumId w:val="22"/>
  </w:num>
  <w:num w:numId="33" w16cid:durableId="470635317">
    <w:abstractNumId w:val="27"/>
  </w:num>
  <w:num w:numId="34" w16cid:durableId="18301724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21A3D"/>
    <w:rsid w:val="00025438"/>
    <w:rsid w:val="00044FF3"/>
    <w:rsid w:val="00046F8F"/>
    <w:rsid w:val="00051CBF"/>
    <w:rsid w:val="0006478A"/>
    <w:rsid w:val="00070651"/>
    <w:rsid w:val="00070943"/>
    <w:rsid w:val="0007413E"/>
    <w:rsid w:val="00083B4F"/>
    <w:rsid w:val="000A55B4"/>
    <w:rsid w:val="000A6FA1"/>
    <w:rsid w:val="000D0AF3"/>
    <w:rsid w:val="000D0F48"/>
    <w:rsid w:val="000F009E"/>
    <w:rsid w:val="000F0556"/>
    <w:rsid w:val="000F2BA8"/>
    <w:rsid w:val="00104CBB"/>
    <w:rsid w:val="00122E06"/>
    <w:rsid w:val="00123ADB"/>
    <w:rsid w:val="00125000"/>
    <w:rsid w:val="00132369"/>
    <w:rsid w:val="001341B6"/>
    <w:rsid w:val="00145E44"/>
    <w:rsid w:val="001633FD"/>
    <w:rsid w:val="001744F5"/>
    <w:rsid w:val="001747BC"/>
    <w:rsid w:val="001A50FB"/>
    <w:rsid w:val="001B27CF"/>
    <w:rsid w:val="001B52F9"/>
    <w:rsid w:val="001B54FD"/>
    <w:rsid w:val="001B6E36"/>
    <w:rsid w:val="001B7A87"/>
    <w:rsid w:val="001B7CD1"/>
    <w:rsid w:val="00204930"/>
    <w:rsid w:val="00205758"/>
    <w:rsid w:val="002156DB"/>
    <w:rsid w:val="00216C2A"/>
    <w:rsid w:val="002342EF"/>
    <w:rsid w:val="00246EF2"/>
    <w:rsid w:val="0024718E"/>
    <w:rsid w:val="00260B8D"/>
    <w:rsid w:val="002656BC"/>
    <w:rsid w:val="00280169"/>
    <w:rsid w:val="00280C06"/>
    <w:rsid w:val="00283EB7"/>
    <w:rsid w:val="002843C7"/>
    <w:rsid w:val="002874CE"/>
    <w:rsid w:val="002937C1"/>
    <w:rsid w:val="002956EB"/>
    <w:rsid w:val="00296FEC"/>
    <w:rsid w:val="002A3C71"/>
    <w:rsid w:val="002B657B"/>
    <w:rsid w:val="002D3E24"/>
    <w:rsid w:val="002E3911"/>
    <w:rsid w:val="002F64E9"/>
    <w:rsid w:val="00300C8A"/>
    <w:rsid w:val="0030375D"/>
    <w:rsid w:val="0033476B"/>
    <w:rsid w:val="00343EA2"/>
    <w:rsid w:val="003522C2"/>
    <w:rsid w:val="0036514A"/>
    <w:rsid w:val="003928D9"/>
    <w:rsid w:val="00392B00"/>
    <w:rsid w:val="00394896"/>
    <w:rsid w:val="003A12FE"/>
    <w:rsid w:val="003A3903"/>
    <w:rsid w:val="003A787A"/>
    <w:rsid w:val="003C1C26"/>
    <w:rsid w:val="003D0A66"/>
    <w:rsid w:val="003D1C3B"/>
    <w:rsid w:val="003E4522"/>
    <w:rsid w:val="003F2A9A"/>
    <w:rsid w:val="00414112"/>
    <w:rsid w:val="00422282"/>
    <w:rsid w:val="00430199"/>
    <w:rsid w:val="00430D2F"/>
    <w:rsid w:val="00446816"/>
    <w:rsid w:val="00451463"/>
    <w:rsid w:val="004561BE"/>
    <w:rsid w:val="00462800"/>
    <w:rsid w:val="004658EA"/>
    <w:rsid w:val="00471F7F"/>
    <w:rsid w:val="00473257"/>
    <w:rsid w:val="00477E21"/>
    <w:rsid w:val="00494398"/>
    <w:rsid w:val="00497F38"/>
    <w:rsid w:val="004A3655"/>
    <w:rsid w:val="004A4EC3"/>
    <w:rsid w:val="004B2309"/>
    <w:rsid w:val="004C7E95"/>
    <w:rsid w:val="004E000D"/>
    <w:rsid w:val="004E1073"/>
    <w:rsid w:val="004E2FC6"/>
    <w:rsid w:val="004F457E"/>
    <w:rsid w:val="0050586F"/>
    <w:rsid w:val="00521529"/>
    <w:rsid w:val="005257D4"/>
    <w:rsid w:val="0053546B"/>
    <w:rsid w:val="00536F4B"/>
    <w:rsid w:val="0057229A"/>
    <w:rsid w:val="005A2699"/>
    <w:rsid w:val="005A2701"/>
    <w:rsid w:val="005C6A39"/>
    <w:rsid w:val="005D04B8"/>
    <w:rsid w:val="005E2416"/>
    <w:rsid w:val="005F483B"/>
    <w:rsid w:val="005F5B9A"/>
    <w:rsid w:val="006007DE"/>
    <w:rsid w:val="00601500"/>
    <w:rsid w:val="0061254A"/>
    <w:rsid w:val="00612756"/>
    <w:rsid w:val="00631D31"/>
    <w:rsid w:val="00634879"/>
    <w:rsid w:val="0064663A"/>
    <w:rsid w:val="00647E4B"/>
    <w:rsid w:val="00656AA7"/>
    <w:rsid w:val="00663B85"/>
    <w:rsid w:val="00666E35"/>
    <w:rsid w:val="00667617"/>
    <w:rsid w:val="0067139A"/>
    <w:rsid w:val="0068201A"/>
    <w:rsid w:val="00686F75"/>
    <w:rsid w:val="006963C4"/>
    <w:rsid w:val="006A1E28"/>
    <w:rsid w:val="006C1C4D"/>
    <w:rsid w:val="006C2F8C"/>
    <w:rsid w:val="006D03B1"/>
    <w:rsid w:val="006D538C"/>
    <w:rsid w:val="006F17A8"/>
    <w:rsid w:val="00717ECE"/>
    <w:rsid w:val="00721C5E"/>
    <w:rsid w:val="00727985"/>
    <w:rsid w:val="00733555"/>
    <w:rsid w:val="00740256"/>
    <w:rsid w:val="007421AD"/>
    <w:rsid w:val="00746389"/>
    <w:rsid w:val="00756536"/>
    <w:rsid w:val="00772241"/>
    <w:rsid w:val="007734E6"/>
    <w:rsid w:val="0078067E"/>
    <w:rsid w:val="007A0EFF"/>
    <w:rsid w:val="007A1F18"/>
    <w:rsid w:val="007A65DF"/>
    <w:rsid w:val="007B2076"/>
    <w:rsid w:val="007C4EE0"/>
    <w:rsid w:val="007D3FC6"/>
    <w:rsid w:val="007D5860"/>
    <w:rsid w:val="007E7FB0"/>
    <w:rsid w:val="008006FC"/>
    <w:rsid w:val="008067CC"/>
    <w:rsid w:val="00814628"/>
    <w:rsid w:val="00816453"/>
    <w:rsid w:val="0084252E"/>
    <w:rsid w:val="008531F0"/>
    <w:rsid w:val="00854002"/>
    <w:rsid w:val="008840C0"/>
    <w:rsid w:val="00892424"/>
    <w:rsid w:val="008947AE"/>
    <w:rsid w:val="00896221"/>
    <w:rsid w:val="008A3F8E"/>
    <w:rsid w:val="008B382B"/>
    <w:rsid w:val="008E0484"/>
    <w:rsid w:val="008E36D7"/>
    <w:rsid w:val="009075E2"/>
    <w:rsid w:val="009514B1"/>
    <w:rsid w:val="009515A0"/>
    <w:rsid w:val="00954FA9"/>
    <w:rsid w:val="00957200"/>
    <w:rsid w:val="0095755A"/>
    <w:rsid w:val="00961CC9"/>
    <w:rsid w:val="009655C0"/>
    <w:rsid w:val="00971722"/>
    <w:rsid w:val="009968F3"/>
    <w:rsid w:val="009C0ED6"/>
    <w:rsid w:val="009C601C"/>
    <w:rsid w:val="009D69D5"/>
    <w:rsid w:val="00A00DF9"/>
    <w:rsid w:val="00A2480E"/>
    <w:rsid w:val="00A254A1"/>
    <w:rsid w:val="00A274B9"/>
    <w:rsid w:val="00A40911"/>
    <w:rsid w:val="00A518E1"/>
    <w:rsid w:val="00A72186"/>
    <w:rsid w:val="00A86D4C"/>
    <w:rsid w:val="00A93FF1"/>
    <w:rsid w:val="00A972A4"/>
    <w:rsid w:val="00AA31C0"/>
    <w:rsid w:val="00AA416A"/>
    <w:rsid w:val="00AA4641"/>
    <w:rsid w:val="00AC584F"/>
    <w:rsid w:val="00AC73F2"/>
    <w:rsid w:val="00AE1B75"/>
    <w:rsid w:val="00AE4816"/>
    <w:rsid w:val="00AE5EBA"/>
    <w:rsid w:val="00AF33E8"/>
    <w:rsid w:val="00B1554C"/>
    <w:rsid w:val="00B20A88"/>
    <w:rsid w:val="00B646FB"/>
    <w:rsid w:val="00B8027B"/>
    <w:rsid w:val="00B96037"/>
    <w:rsid w:val="00BA7D09"/>
    <w:rsid w:val="00BB541C"/>
    <w:rsid w:val="00BC31BC"/>
    <w:rsid w:val="00BC5C3F"/>
    <w:rsid w:val="00BD1B8C"/>
    <w:rsid w:val="00BD613A"/>
    <w:rsid w:val="00BF20C5"/>
    <w:rsid w:val="00C12F9A"/>
    <w:rsid w:val="00C14680"/>
    <w:rsid w:val="00C15B56"/>
    <w:rsid w:val="00C201F1"/>
    <w:rsid w:val="00C26E45"/>
    <w:rsid w:val="00C42E57"/>
    <w:rsid w:val="00C45F38"/>
    <w:rsid w:val="00C47631"/>
    <w:rsid w:val="00C52DEB"/>
    <w:rsid w:val="00C54A97"/>
    <w:rsid w:val="00C639AF"/>
    <w:rsid w:val="00C70D65"/>
    <w:rsid w:val="00C86886"/>
    <w:rsid w:val="00CD00BF"/>
    <w:rsid w:val="00CD0B02"/>
    <w:rsid w:val="00CD3B25"/>
    <w:rsid w:val="00CF070B"/>
    <w:rsid w:val="00D007E3"/>
    <w:rsid w:val="00D16302"/>
    <w:rsid w:val="00D173A8"/>
    <w:rsid w:val="00D2368C"/>
    <w:rsid w:val="00D263CA"/>
    <w:rsid w:val="00D2665E"/>
    <w:rsid w:val="00D436A4"/>
    <w:rsid w:val="00D54C40"/>
    <w:rsid w:val="00D718AA"/>
    <w:rsid w:val="00D71E76"/>
    <w:rsid w:val="00D732A5"/>
    <w:rsid w:val="00D7570D"/>
    <w:rsid w:val="00D801DC"/>
    <w:rsid w:val="00DB08AF"/>
    <w:rsid w:val="00DF1A44"/>
    <w:rsid w:val="00DF4B7C"/>
    <w:rsid w:val="00DF7BA5"/>
    <w:rsid w:val="00E02BA3"/>
    <w:rsid w:val="00E14F0F"/>
    <w:rsid w:val="00E20BE0"/>
    <w:rsid w:val="00E23326"/>
    <w:rsid w:val="00E432A1"/>
    <w:rsid w:val="00E4641B"/>
    <w:rsid w:val="00E551E6"/>
    <w:rsid w:val="00E61CE6"/>
    <w:rsid w:val="00E96578"/>
    <w:rsid w:val="00EA11AC"/>
    <w:rsid w:val="00EA5626"/>
    <w:rsid w:val="00EC7340"/>
    <w:rsid w:val="00ED18BE"/>
    <w:rsid w:val="00ED68B9"/>
    <w:rsid w:val="00ED7D74"/>
    <w:rsid w:val="00EE13A1"/>
    <w:rsid w:val="00EE1A87"/>
    <w:rsid w:val="00EE3673"/>
    <w:rsid w:val="00EF2F5D"/>
    <w:rsid w:val="00F02587"/>
    <w:rsid w:val="00F156D2"/>
    <w:rsid w:val="00F167A5"/>
    <w:rsid w:val="00F51C71"/>
    <w:rsid w:val="00F80DEC"/>
    <w:rsid w:val="00F95B4C"/>
    <w:rsid w:val="00F971AB"/>
    <w:rsid w:val="00FA1359"/>
    <w:rsid w:val="00FA7287"/>
    <w:rsid w:val="00FB2D81"/>
    <w:rsid w:val="00FD7C45"/>
    <w:rsid w:val="00FE0D47"/>
    <w:rsid w:val="00FE4F00"/>
    <w:rsid w:val="00FE5411"/>
    <w:rsid w:val="00FF3F69"/>
    <w:rsid w:val="00FF59CB"/>
    <w:rsid w:val="00FF68F3"/>
    <w:rsid w:val="00FF7BB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E41A61B4-C81E-8D47-A1B7-6C76C9CE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Bullet point"/>
    <w:basedOn w:val="Normal"/>
    <w:link w:val="ListParagraphChar"/>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styleId="PageNumber">
    <w:name w:val="page number"/>
    <w:basedOn w:val="DefaultParagraphFont"/>
    <w:uiPriority w:val="99"/>
    <w:semiHidden/>
    <w:unhideWhenUsed/>
    <w:rsid w:val="0033476B"/>
  </w:style>
  <w:style w:type="paragraph" w:customStyle="1" w:styleId="tabledot">
    <w:name w:val="table dot"/>
    <w:basedOn w:val="Normal"/>
    <w:qFormat/>
    <w:rsid w:val="00667617"/>
    <w:pPr>
      <w:numPr>
        <w:numId w:val="27"/>
      </w:numPr>
      <w:spacing w:after="0" w:line="240" w:lineRule="auto"/>
      <w:ind w:left="340" w:hanging="170"/>
    </w:pPr>
    <w:rPr>
      <w:rFonts w:eastAsia="Times New Roman" w:cs="Times New Roman"/>
      <w:noProof/>
      <w:sz w:val="20"/>
    </w:rPr>
  </w:style>
  <w:style w:type="character" w:customStyle="1" w:styleId="ListParagraphChar">
    <w:name w:val="List Paragraph Char"/>
    <w:aliases w:val="DPC List Paragraph P Char,Bullet point Char"/>
    <w:link w:val="ListParagraph"/>
    <w:uiPriority w:val="34"/>
    <w:locked/>
    <w:rsid w:val="001B6E36"/>
    <w:rPr>
      <w:rFonts w:ascii="Arial" w:hAnsi="Arial" w:cs="Calibri"/>
      <w:color w:val="000000" w:themeColor="text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document-collections/personal-leadership"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gov.au/organisation/public-sector-commission/leadership-expecta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building-leadership-impa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D56267112CDC4FB0D8582F58FF7CE1" ma:contentTypeVersion="15" ma:contentTypeDescription="Create a new document." ma:contentTypeScope="" ma:versionID="f94d12dcad3854eb22abdf20dcc8580a">
  <xsd:schema xmlns:xsd="http://www.w3.org/2001/XMLSchema" xmlns:xs="http://www.w3.org/2001/XMLSchema" xmlns:p="http://schemas.microsoft.com/office/2006/metadata/properties" xmlns:ns2="c69012fe-9a92-4954-b0a7-853fae50b610" xmlns:ns3="a991264a-cd92-493e-8f32-b2890e390722" targetNamespace="http://schemas.microsoft.com/office/2006/metadata/properties" ma:root="true" ma:fieldsID="d35f0a9e787f4f6dea3268110f07c61b" ns2:_="" ns3:_="">
    <xsd:import namespace="c69012fe-9a92-4954-b0a7-853fae50b610"/>
    <xsd:import namespace="a991264a-cd92-493e-8f32-b2890e3907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012fe-9a92-4954-b0a7-853fae50b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1264a-cd92-493e-8f32-b2890e3907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62d6b8-114e-468a-aa26-e736c33b1f80}" ma:internalName="TaxCatchAll" ma:showField="CatchAllData" ma:web="a991264a-cd92-493e-8f32-b2890e3907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9012fe-9a92-4954-b0a7-853fae50b610">
      <Terms xmlns="http://schemas.microsoft.com/office/infopath/2007/PartnerControls"/>
    </lcf76f155ced4ddcb4097134ff3c332f>
    <TaxCatchAll xmlns="a991264a-cd92-493e-8f32-b2890e390722"/>
  </documentManagement>
</p:properties>
</file>

<file path=customXml/itemProps1.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customXml/itemProps2.xml><?xml version="1.0" encoding="utf-8"?>
<ds:datastoreItem xmlns:ds="http://schemas.openxmlformats.org/officeDocument/2006/customXml" ds:itemID="{35EE5D02-A64A-4E93-938B-97251AB97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012fe-9a92-4954-b0a7-853fae50b610"/>
    <ds:schemaRef ds:uri="a991264a-cd92-493e-8f32-b2890e390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43AB2-22D9-42F2-9DFC-08445147FB14}">
  <ds:schemaRefs>
    <ds:schemaRef ds:uri="http://schemas.microsoft.com/sharepoint/v3/contenttype/forms"/>
  </ds:schemaRefs>
</ds:datastoreItem>
</file>

<file path=customXml/itemProps4.xml><?xml version="1.0" encoding="utf-8"?>
<ds:datastoreItem xmlns:ds="http://schemas.openxmlformats.org/officeDocument/2006/customXml" ds:itemID="{0D486EFD-65BC-4DE6-A820-132570A6F814}">
  <ds:schemaRefs>
    <ds:schemaRef ds:uri="http://schemas.microsoft.com/office/2006/metadata/properties"/>
    <ds:schemaRef ds:uri="http://schemas.microsoft.com/office/infopath/2007/PartnerControls"/>
    <ds:schemaRef ds:uri="c69012fe-9a92-4954-b0a7-853fae50b610"/>
    <ds:schemaRef ds:uri="a991264a-cd92-493e-8f32-b2890e39072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Benson, Christian</cp:lastModifiedBy>
  <cp:revision>2</cp:revision>
  <cp:lastPrinted>2026-04-23T09:24:00Z</cp:lastPrinted>
  <dcterms:created xsi:type="dcterms:W3CDTF">2026-06-18T07:41:00Z</dcterms:created>
  <dcterms:modified xsi:type="dcterms:W3CDTF">2026-06-18T07:41:00Z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ContentTypeId">
    <vt:lpwstr>0x01010070D56267112CDC4FB0D8582F58FF7CE1</vt:lpwstr>
  </property>
</Properties>
</file>