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00FA831B" w:rsidR="004A4EC3" w:rsidRPr="00C14680" w:rsidRDefault="00521A59"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Accounts Officer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2</w:t>
      </w:r>
      <w:r w:rsidR="004A4EC3" w:rsidRPr="00C14680">
        <w:rPr>
          <w:rFonts w:eastAsiaTheme="majorEastAsia" w:cs="Times New Roman (Headings CS)"/>
          <w:b/>
          <w:color w:val="CC5733"/>
          <w:sz w:val="30"/>
          <w:szCs w:val="30"/>
        </w:rPr>
        <w:t xml:space="preserve"> (</w:t>
      </w:r>
      <w:r w:rsidR="00E867A4">
        <w:rPr>
          <w:rFonts w:eastAsiaTheme="majorEastAsia" w:cs="Times New Roman (Headings CS)"/>
          <w:b/>
          <w:color w:val="CC5733"/>
          <w:sz w:val="30"/>
          <w:szCs w:val="30"/>
        </w:rPr>
        <w:t>Generic</w:t>
      </w:r>
      <w:r w:rsidR="004A4EC3" w:rsidRPr="00C14680">
        <w:rPr>
          <w:rFonts w:eastAsiaTheme="majorEastAsia" w:cs="Times New Roman (Headings CS)"/>
          <w:b/>
          <w:color w:val="CC5733"/>
          <w:sz w:val="30"/>
          <w:szCs w:val="30"/>
        </w:rPr>
        <w:t>)</w:t>
      </w:r>
      <w:r w:rsidR="00B156CE">
        <w:rPr>
          <w:rFonts w:eastAsiaTheme="majorEastAsia" w:cs="Times New Roman (Headings CS)"/>
          <w:b/>
          <w:color w:val="CC5733"/>
          <w:sz w:val="30"/>
          <w:szCs w:val="30"/>
        </w:rPr>
        <w:t xml:space="preserve"> </w:t>
      </w:r>
      <w:r w:rsidR="00B156CE">
        <w:rPr>
          <w:rFonts w:eastAsiaTheme="majorEastAsia" w:cs="Times New Roman (Headings CS)"/>
          <w:b/>
          <w:color w:val="CC5733"/>
          <w:sz w:val="30"/>
          <w:szCs w:val="30"/>
        </w:rPr>
        <w:tab/>
      </w:r>
      <w:r w:rsidR="00E867A4">
        <w:rPr>
          <w:rFonts w:eastAsiaTheme="majorEastAsia" w:cs="Times New Roman (Headings CS)"/>
          <w:b/>
          <w:color w:val="CC5733"/>
          <w:sz w:val="30"/>
          <w:szCs w:val="30"/>
        </w:rPr>
        <w:tab/>
      </w:r>
      <w:r w:rsidR="00E867A4">
        <w:rPr>
          <w:rFonts w:eastAsiaTheme="majorEastAsia" w:cs="Times New Roman (Headings CS)"/>
          <w:b/>
          <w:color w:val="CC5733"/>
          <w:sz w:val="30"/>
          <w:szCs w:val="30"/>
        </w:rPr>
        <w:tab/>
      </w:r>
      <w:r w:rsidR="00B156CE">
        <w:rPr>
          <w:rFonts w:eastAsiaTheme="majorEastAsia" w:cs="Times New Roman (Headings CS)"/>
          <w:b/>
          <w:color w:val="CC5733"/>
          <w:sz w:val="30"/>
          <w:szCs w:val="30"/>
        </w:rPr>
        <w:tab/>
      </w:r>
      <w:r w:rsidR="00B156CE">
        <w:rPr>
          <w:rFonts w:eastAsiaTheme="majorEastAsia" w:cs="Times New Roman (Headings CS)"/>
          <w:b/>
          <w:color w:val="CC5733"/>
          <w:sz w:val="30"/>
          <w:szCs w:val="30"/>
        </w:rPr>
        <w:tab/>
      </w:r>
      <w:r w:rsidR="00B156CE" w:rsidRPr="00B156CE">
        <w:rPr>
          <w:rFonts w:eastAsiaTheme="majorEastAsia" w:cs="Times New Roman (Headings CS)"/>
          <w:bCs/>
          <w:color w:val="CC5733"/>
          <w:sz w:val="16"/>
          <w:szCs w:val="16"/>
        </w:rPr>
        <w:t>June 2026</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C70D65" w:rsidRPr="00D007E3" w14:paraId="203B70C2" w14:textId="77777777" w:rsidTr="00862967">
        <w:trPr>
          <w:trHeight w:val="465"/>
        </w:trPr>
        <w:tc>
          <w:tcPr>
            <w:tcW w:w="4395" w:type="dxa"/>
            <w:vAlign w:val="center"/>
          </w:tcPr>
          <w:p w14:paraId="68AA88FF" w14:textId="0CB01124" w:rsidR="00C70D65" w:rsidRPr="002A3C71"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521A59" w:rsidRPr="00521A59">
              <w:rPr>
                <w:color w:val="auto"/>
              </w:rPr>
              <w:t>State Services</w:t>
            </w:r>
          </w:p>
        </w:tc>
        <w:tc>
          <w:tcPr>
            <w:tcW w:w="4814" w:type="dxa"/>
            <w:vAlign w:val="center"/>
          </w:tcPr>
          <w:p w14:paraId="71568BBB" w14:textId="4EB9B1AC" w:rsidR="00C70D65" w:rsidRPr="002A3C71" w:rsidRDefault="00C70D65" w:rsidP="00862967">
            <w:pPr>
              <w:pStyle w:val="Formfields"/>
              <w:framePr w:hSpace="0" w:wrap="auto" w:vAnchor="margin" w:yAlign="inline"/>
              <w:suppressOverlap w:val="0"/>
              <w:rPr>
                <w:color w:val="auto"/>
              </w:rPr>
            </w:pPr>
            <w:r w:rsidRPr="00D007E3">
              <w:t>Reports to:</w:t>
            </w:r>
            <w:r w:rsidRPr="003E4522">
              <w:rPr>
                <w:color w:val="auto"/>
              </w:rPr>
              <w:t xml:space="preserve"> </w:t>
            </w:r>
            <w:r w:rsidR="00521A59" w:rsidRPr="00521A59">
              <w:rPr>
                <w:color w:val="auto"/>
              </w:rPr>
              <w:t>Accountant</w:t>
            </w:r>
          </w:p>
        </w:tc>
      </w:tr>
      <w:tr w:rsidR="00C70D65" w:rsidRPr="00D007E3" w14:paraId="44646006" w14:textId="77777777" w:rsidTr="00862967">
        <w:trPr>
          <w:trHeight w:val="465"/>
        </w:trPr>
        <w:tc>
          <w:tcPr>
            <w:tcW w:w="4395" w:type="dxa"/>
            <w:vAlign w:val="center"/>
          </w:tcPr>
          <w:p w14:paraId="236184A4" w14:textId="07A7D736" w:rsidR="00C70D65" w:rsidRPr="002A3C71" w:rsidRDefault="00C70D65" w:rsidP="00862967">
            <w:pPr>
              <w:pStyle w:val="Formfields"/>
              <w:framePr w:hSpace="0" w:wrap="auto" w:vAnchor="margin" w:yAlign="inline"/>
              <w:suppressOverlap w:val="0"/>
              <w:rPr>
                <w:color w:val="auto"/>
              </w:rPr>
            </w:pPr>
            <w:r>
              <w:t xml:space="preserve">Directorate </w:t>
            </w:r>
            <w:r w:rsidRPr="0061254A">
              <w:t>Branch:</w:t>
            </w:r>
            <w:r w:rsidR="00521A59">
              <w:t xml:space="preserve"> </w:t>
            </w:r>
            <w:r w:rsidR="00521A59" w:rsidRPr="00521A59">
              <w:rPr>
                <w:color w:val="auto"/>
              </w:rPr>
              <w:t>Financial Services</w:t>
            </w:r>
          </w:p>
        </w:tc>
        <w:tc>
          <w:tcPr>
            <w:tcW w:w="4814" w:type="dxa"/>
            <w:vAlign w:val="center"/>
          </w:tcPr>
          <w:p w14:paraId="6F2A49F6" w14:textId="77777777" w:rsidR="00C70D65" w:rsidRPr="00D007E3" w:rsidRDefault="00C70D65" w:rsidP="00862967">
            <w:pPr>
              <w:pStyle w:val="Formfields"/>
              <w:framePr w:hSpace="0" w:wrap="auto" w:vAnchor="margin" w:yAlign="inline"/>
              <w:suppressOverlap w:val="0"/>
            </w:pPr>
            <w:r w:rsidRPr="00D007E3">
              <w:t>Supervises</w:t>
            </w:r>
            <w:r w:rsidRPr="0061254A">
              <w:t>:</w:t>
            </w:r>
            <w:r w:rsidRPr="003E4522">
              <w:rPr>
                <w:color w:val="auto"/>
              </w:rPr>
              <w:t xml:space="preserve"> </w:t>
            </w:r>
            <w:r>
              <w:rPr>
                <w:color w:val="auto"/>
              </w:rPr>
              <w:t>0</w:t>
            </w:r>
          </w:p>
        </w:tc>
      </w:tr>
      <w:tr w:rsidR="00C70D65" w:rsidRPr="00D007E3" w14:paraId="2D9EFB73" w14:textId="77777777" w:rsidTr="00862967">
        <w:trPr>
          <w:trHeight w:val="465"/>
        </w:trPr>
        <w:tc>
          <w:tcPr>
            <w:tcW w:w="439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481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216C2A">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2E09FE96" w14:textId="77777777" w:rsidR="00521A59" w:rsidRPr="00521A59" w:rsidRDefault="00521A59" w:rsidP="00F80DEC">
      <w:r w:rsidRPr="00521A59">
        <w:t>The Financial Services Branch ensures the Department meets all of its financial reporting obligations. This includes both internal and external reporting requirements.</w:t>
      </w:r>
    </w:p>
    <w:p w14:paraId="7D1D0209" w14:textId="49571D40"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0F2BB888" w14:textId="77777777" w:rsidR="00521A59" w:rsidRPr="00521A59" w:rsidRDefault="00521A59" w:rsidP="00D54C40">
      <w:r w:rsidRPr="00521A59">
        <w:t>The Accounts Officer is responsible for processing high volume supplier and debtor invoices in a timely and accurate manner. The Accounts Officer also assists with other related tasks as required.</w:t>
      </w:r>
    </w:p>
    <w:p w14:paraId="4CE2195F" w14:textId="77777777" w:rsidR="00521A59" w:rsidRPr="0099308C" w:rsidRDefault="00521A59" w:rsidP="00521A59">
      <w:pPr>
        <w:pStyle w:val="ListParagraph"/>
        <w:numPr>
          <w:ilvl w:val="0"/>
          <w:numId w:val="27"/>
        </w:numPr>
        <w:spacing w:after="0" w:line="259" w:lineRule="auto"/>
        <w:contextualSpacing/>
        <w:rPr>
          <w:rFonts w:cs="Arial"/>
          <w:color w:val="auto"/>
        </w:rPr>
      </w:pPr>
      <w:r w:rsidRPr="0099308C">
        <w:rPr>
          <w:rFonts w:cs="Arial"/>
          <w:color w:val="auto"/>
        </w:rPr>
        <w:t>Accurately prepares and processes Purchase Order reconciliations</w:t>
      </w:r>
      <w:r w:rsidRPr="0099308C">
        <w:rPr>
          <w:color w:val="auto"/>
        </w:rPr>
        <w:t xml:space="preserve">, </w:t>
      </w:r>
      <w:r w:rsidRPr="0099308C">
        <w:rPr>
          <w:rFonts w:cs="Arial"/>
          <w:color w:val="auto"/>
        </w:rPr>
        <w:t>Accounts Receivable and Accounts Payable transactions in a timely manner.</w:t>
      </w:r>
    </w:p>
    <w:p w14:paraId="18F4212A" w14:textId="77777777" w:rsidR="00521A59" w:rsidRPr="0099308C" w:rsidRDefault="00521A59" w:rsidP="00521A59">
      <w:pPr>
        <w:pStyle w:val="ListParagraph"/>
        <w:numPr>
          <w:ilvl w:val="0"/>
          <w:numId w:val="28"/>
        </w:numPr>
        <w:spacing w:after="160" w:line="259" w:lineRule="auto"/>
        <w:contextualSpacing/>
        <w:rPr>
          <w:color w:val="auto"/>
        </w:rPr>
      </w:pPr>
      <w:bookmarkStart w:id="1" w:name="_Hlk174090608"/>
      <w:r w:rsidRPr="0099308C">
        <w:rPr>
          <w:color w:val="auto"/>
        </w:rPr>
        <w:t>Ensures payment details in the Financial Management Information System match payment details on invoices.</w:t>
      </w:r>
    </w:p>
    <w:bookmarkEnd w:id="1"/>
    <w:p w14:paraId="68A915F5" w14:textId="77777777" w:rsidR="00521A59" w:rsidRPr="0099308C" w:rsidRDefault="00521A59" w:rsidP="00521A59">
      <w:pPr>
        <w:pStyle w:val="ListParagraph"/>
        <w:numPr>
          <w:ilvl w:val="0"/>
          <w:numId w:val="27"/>
        </w:numPr>
        <w:spacing w:after="160" w:line="259" w:lineRule="auto"/>
        <w:contextualSpacing/>
        <w:rPr>
          <w:color w:val="auto"/>
        </w:rPr>
      </w:pPr>
      <w:r w:rsidRPr="0099308C">
        <w:rPr>
          <w:color w:val="auto"/>
        </w:rPr>
        <w:t>Performs Banking duties as required</w:t>
      </w:r>
    </w:p>
    <w:p w14:paraId="39BC3FB5" w14:textId="77777777" w:rsidR="00521A59" w:rsidRPr="0099308C" w:rsidRDefault="00521A59" w:rsidP="00521A59">
      <w:pPr>
        <w:pStyle w:val="ListParagraph"/>
        <w:numPr>
          <w:ilvl w:val="0"/>
          <w:numId w:val="27"/>
        </w:numPr>
        <w:spacing w:after="160" w:line="259" w:lineRule="auto"/>
        <w:contextualSpacing/>
        <w:rPr>
          <w:color w:val="auto"/>
        </w:rPr>
      </w:pPr>
      <w:r w:rsidRPr="0099308C">
        <w:rPr>
          <w:color w:val="auto"/>
        </w:rPr>
        <w:t xml:space="preserve">Processes requests for New Customer and Supplier establishment </w:t>
      </w:r>
    </w:p>
    <w:p w14:paraId="05E4C538" w14:textId="77777777" w:rsidR="00521A59" w:rsidRPr="0099308C" w:rsidRDefault="00521A59" w:rsidP="00521A59">
      <w:pPr>
        <w:pStyle w:val="ListParagraph"/>
        <w:numPr>
          <w:ilvl w:val="0"/>
          <w:numId w:val="27"/>
        </w:numPr>
        <w:spacing w:after="160" w:line="259" w:lineRule="auto"/>
        <w:contextualSpacing/>
        <w:rPr>
          <w:color w:val="auto"/>
        </w:rPr>
      </w:pPr>
      <w:r w:rsidRPr="0099308C">
        <w:rPr>
          <w:color w:val="auto"/>
        </w:rPr>
        <w:t>Assists in performing Quality Assurance tasks for Accounts Payable payment runs</w:t>
      </w:r>
    </w:p>
    <w:p w14:paraId="346EAD3E" w14:textId="77777777" w:rsidR="00521A59" w:rsidRPr="0099308C" w:rsidRDefault="00521A59" w:rsidP="00521A59">
      <w:pPr>
        <w:pStyle w:val="ListParagraph"/>
        <w:numPr>
          <w:ilvl w:val="0"/>
          <w:numId w:val="27"/>
        </w:numPr>
        <w:spacing w:after="160" w:line="259" w:lineRule="auto"/>
        <w:contextualSpacing/>
        <w:rPr>
          <w:color w:val="auto"/>
        </w:rPr>
      </w:pPr>
      <w:r w:rsidRPr="0099308C">
        <w:rPr>
          <w:color w:val="auto"/>
        </w:rPr>
        <w:t>Assist the Financial Transactions Officer to meet compliance and reporting requirements</w:t>
      </w:r>
    </w:p>
    <w:p w14:paraId="14F8EA55" w14:textId="77777777" w:rsidR="00521A59" w:rsidRPr="0099308C" w:rsidRDefault="00521A59" w:rsidP="00521A59">
      <w:pPr>
        <w:pStyle w:val="ListParagraph"/>
        <w:numPr>
          <w:ilvl w:val="0"/>
          <w:numId w:val="27"/>
        </w:numPr>
        <w:spacing w:after="0" w:line="259" w:lineRule="auto"/>
        <w:contextualSpacing/>
        <w:rPr>
          <w:rFonts w:cs="Arial"/>
          <w:color w:val="auto"/>
        </w:rPr>
      </w:pPr>
      <w:r w:rsidRPr="0099308C">
        <w:rPr>
          <w:rFonts w:cs="Arial"/>
          <w:color w:val="auto"/>
        </w:rPr>
        <w:t>Ensures the debtor Masterfile is regularly updated and accurate.</w:t>
      </w:r>
    </w:p>
    <w:p w14:paraId="2C428B4F" w14:textId="77777777" w:rsidR="00521A59" w:rsidRPr="0099308C" w:rsidRDefault="00521A59" w:rsidP="00521A59">
      <w:pPr>
        <w:pStyle w:val="ListParagraph"/>
        <w:numPr>
          <w:ilvl w:val="0"/>
          <w:numId w:val="27"/>
        </w:numPr>
        <w:spacing w:after="0" w:line="259" w:lineRule="auto"/>
        <w:contextualSpacing/>
        <w:rPr>
          <w:rFonts w:cs="Arial"/>
          <w:color w:val="auto"/>
        </w:rPr>
      </w:pPr>
      <w:r w:rsidRPr="0099308C">
        <w:rPr>
          <w:color w:val="auto"/>
        </w:rPr>
        <w:lastRenderedPageBreak/>
        <w:t>Responds to account enquiries ensuring follow up on outstanding items and escalates items as required.</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ED29739"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C70D65">
          <w:rPr>
            <w:rStyle w:val="Hyperlink"/>
            <w:color w:val="6AA388"/>
          </w:rPr>
          <w:t>Personal Leadership</w:t>
        </w:r>
      </w:hyperlink>
      <w:r w:rsidRPr="00957200">
        <w:t xml:space="preserve"> 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3D29D402" w14:textId="77777777" w:rsidR="00521A59" w:rsidRDefault="00521A59" w:rsidP="00521A59">
      <w:pPr>
        <w:pStyle w:val="ListParagraph"/>
        <w:numPr>
          <w:ilvl w:val="0"/>
          <w:numId w:val="29"/>
        </w:numPr>
        <w:spacing w:after="0"/>
        <w:contextualSpacing/>
      </w:pPr>
      <w:r>
        <w:t>Experience using Financial Management Information Systems and processing large volumes of transactions.</w:t>
      </w:r>
    </w:p>
    <w:p w14:paraId="08B72A58" w14:textId="77777777" w:rsidR="00521A59" w:rsidRDefault="00521A59" w:rsidP="00521A59">
      <w:pPr>
        <w:pStyle w:val="ListParagraph"/>
        <w:numPr>
          <w:ilvl w:val="0"/>
          <w:numId w:val="29"/>
        </w:numPr>
        <w:spacing w:after="0"/>
        <w:contextualSpacing/>
      </w:pPr>
      <w:r>
        <w:t>Demonstrated knowledge of Accounts Payable, Accounts Receivable and transactional procedures.</w:t>
      </w:r>
    </w:p>
    <w:p w14:paraId="75E02EBC" w14:textId="77777777" w:rsidR="00521A59" w:rsidRDefault="00521A59" w:rsidP="00521A59">
      <w:pPr>
        <w:pStyle w:val="ListParagraph"/>
        <w:numPr>
          <w:ilvl w:val="0"/>
          <w:numId w:val="29"/>
        </w:numPr>
        <w:spacing w:after="0"/>
        <w:contextualSpacing/>
      </w:pPr>
      <w:r>
        <w:t>Well-developed verbal, written and interpersonal communication skills with the ability to build and maintain effective working relationships and liaise with individuals at all levels, internally and externally.</w:t>
      </w:r>
    </w:p>
    <w:p w14:paraId="346DC80D" w14:textId="77777777" w:rsidR="00521A59" w:rsidRDefault="00521A59" w:rsidP="00521A59">
      <w:pPr>
        <w:pStyle w:val="ListParagraph"/>
        <w:numPr>
          <w:ilvl w:val="0"/>
          <w:numId w:val="29"/>
        </w:numPr>
        <w:spacing w:after="0"/>
        <w:contextualSpacing/>
      </w:pPr>
      <w:r>
        <w:t>Good organisational skills, demonstrating the ability to prioritise and meet all deadlines.</w:t>
      </w:r>
    </w:p>
    <w:p w14:paraId="4DF8CF67" w14:textId="77777777" w:rsidR="00521A59" w:rsidRDefault="00521A59" w:rsidP="00521A59">
      <w:pPr>
        <w:spacing w:after="0"/>
        <w:contextualSpacing/>
        <w:rPr>
          <w:b/>
          <w:bCs/>
        </w:rPr>
      </w:pPr>
    </w:p>
    <w:p w14:paraId="52AD140C" w14:textId="7AB00691" w:rsidR="00521A59" w:rsidRDefault="00521A59" w:rsidP="00521A59">
      <w:pPr>
        <w:spacing w:after="0"/>
        <w:contextualSpacing/>
        <w:rPr>
          <w:b/>
          <w:bCs/>
        </w:rPr>
      </w:pPr>
      <w:r>
        <w:rPr>
          <w:b/>
          <w:bCs/>
        </w:rPr>
        <w:t>Desirable</w:t>
      </w:r>
    </w:p>
    <w:p w14:paraId="75CF1B06" w14:textId="698D3279" w:rsidR="00521A59" w:rsidRPr="00521A59" w:rsidRDefault="00521A59" w:rsidP="00521A59">
      <w:pPr>
        <w:pStyle w:val="ListParagraph"/>
        <w:numPr>
          <w:ilvl w:val="0"/>
          <w:numId w:val="30"/>
        </w:numPr>
      </w:pPr>
      <w:r w:rsidRPr="00521A59">
        <w:t>Knowledge of the Financial Management Act (2006), Treasurer’s Instructions and other relevant legislation and departmental financial policies.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lastRenderedPageBreak/>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C2EE" w14:textId="77777777" w:rsidR="009671AB" w:rsidRDefault="009671AB" w:rsidP="00756536">
      <w:pPr>
        <w:spacing w:after="0" w:line="240" w:lineRule="auto"/>
      </w:pPr>
      <w:r>
        <w:separator/>
      </w:r>
    </w:p>
  </w:endnote>
  <w:endnote w:type="continuationSeparator" w:id="0">
    <w:p w14:paraId="009E8DFE" w14:textId="77777777" w:rsidR="009671AB" w:rsidRDefault="009671AB"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993B" w14:textId="77777777" w:rsidR="009671AB" w:rsidRDefault="009671AB" w:rsidP="00756536">
      <w:pPr>
        <w:spacing w:after="0" w:line="240" w:lineRule="auto"/>
      </w:pPr>
      <w:r>
        <w:separator/>
      </w:r>
    </w:p>
  </w:footnote>
  <w:footnote w:type="continuationSeparator" w:id="0">
    <w:p w14:paraId="1DA01969" w14:textId="77777777" w:rsidR="009671AB" w:rsidRDefault="009671AB"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3F01620"/>
    <w:multiLevelType w:val="hybridMultilevel"/>
    <w:tmpl w:val="55B2178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8524F"/>
    <w:multiLevelType w:val="hybridMultilevel"/>
    <w:tmpl w:val="CF28E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F85979"/>
    <w:multiLevelType w:val="hybridMultilevel"/>
    <w:tmpl w:val="3FD4F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9247E2"/>
    <w:multiLevelType w:val="hybridMultilevel"/>
    <w:tmpl w:val="8B8E57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19"/>
  </w:num>
  <w:num w:numId="5" w16cid:durableId="165638337">
    <w:abstractNumId w:val="16"/>
  </w:num>
  <w:num w:numId="6" w16cid:durableId="1123695853">
    <w:abstractNumId w:val="15"/>
  </w:num>
  <w:num w:numId="7" w16cid:durableId="1581137968">
    <w:abstractNumId w:val="7"/>
  </w:num>
  <w:num w:numId="8" w16cid:durableId="210381380">
    <w:abstractNumId w:val="9"/>
  </w:num>
  <w:num w:numId="9" w16cid:durableId="1667249357">
    <w:abstractNumId w:val="28"/>
  </w:num>
  <w:num w:numId="10" w16cid:durableId="1636334645">
    <w:abstractNumId w:val="18"/>
  </w:num>
  <w:num w:numId="11" w16cid:durableId="1816409002">
    <w:abstractNumId w:val="13"/>
  </w:num>
  <w:num w:numId="12" w16cid:durableId="1771470451">
    <w:abstractNumId w:val="14"/>
  </w:num>
  <w:num w:numId="13" w16cid:durableId="2042582278">
    <w:abstractNumId w:val="27"/>
  </w:num>
  <w:num w:numId="14" w16cid:durableId="301085470">
    <w:abstractNumId w:val="20"/>
  </w:num>
  <w:num w:numId="15" w16cid:durableId="24185399">
    <w:abstractNumId w:val="2"/>
  </w:num>
  <w:num w:numId="16" w16cid:durableId="169490687">
    <w:abstractNumId w:val="17"/>
  </w:num>
  <w:num w:numId="17" w16cid:durableId="629700953">
    <w:abstractNumId w:val="1"/>
  </w:num>
  <w:num w:numId="18" w16cid:durableId="1341004227">
    <w:abstractNumId w:val="22"/>
  </w:num>
  <w:num w:numId="19" w16cid:durableId="1468815981">
    <w:abstractNumId w:val="21"/>
  </w:num>
  <w:num w:numId="20" w16cid:durableId="1483697836">
    <w:abstractNumId w:val="0"/>
  </w:num>
  <w:num w:numId="21" w16cid:durableId="1199708562">
    <w:abstractNumId w:val="3"/>
  </w:num>
  <w:num w:numId="22" w16cid:durableId="666324951">
    <w:abstractNumId w:val="12"/>
  </w:num>
  <w:num w:numId="23" w16cid:durableId="1153444563">
    <w:abstractNumId w:val="6"/>
  </w:num>
  <w:num w:numId="24" w16cid:durableId="1034843463">
    <w:abstractNumId w:val="25"/>
  </w:num>
  <w:num w:numId="25" w16cid:durableId="1168908575">
    <w:abstractNumId w:val="26"/>
  </w:num>
  <w:num w:numId="26" w16cid:durableId="673799948">
    <w:abstractNumId w:val="10"/>
  </w:num>
  <w:num w:numId="27" w16cid:durableId="632029291">
    <w:abstractNumId w:val="23"/>
  </w:num>
  <w:num w:numId="28" w16cid:durableId="1603105800">
    <w:abstractNumId w:val="5"/>
  </w:num>
  <w:num w:numId="29" w16cid:durableId="343634284">
    <w:abstractNumId w:val="4"/>
  </w:num>
  <w:num w:numId="30" w16cid:durableId="1545554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60B8D"/>
    <w:rsid w:val="002656BC"/>
    <w:rsid w:val="00280169"/>
    <w:rsid w:val="00280C06"/>
    <w:rsid w:val="002816FC"/>
    <w:rsid w:val="00283EB7"/>
    <w:rsid w:val="002843C7"/>
    <w:rsid w:val="002874CE"/>
    <w:rsid w:val="002937C1"/>
    <w:rsid w:val="002956EB"/>
    <w:rsid w:val="00296FEC"/>
    <w:rsid w:val="002A3C71"/>
    <w:rsid w:val="002B657B"/>
    <w:rsid w:val="002D3E24"/>
    <w:rsid w:val="002F64E9"/>
    <w:rsid w:val="00300C8A"/>
    <w:rsid w:val="0030375D"/>
    <w:rsid w:val="003301EB"/>
    <w:rsid w:val="0033476B"/>
    <w:rsid w:val="00343EA2"/>
    <w:rsid w:val="003522C2"/>
    <w:rsid w:val="0036514A"/>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7E95"/>
    <w:rsid w:val="004E000D"/>
    <w:rsid w:val="004E1073"/>
    <w:rsid w:val="004E2FC6"/>
    <w:rsid w:val="004F457E"/>
    <w:rsid w:val="00521529"/>
    <w:rsid w:val="00521A59"/>
    <w:rsid w:val="005257D4"/>
    <w:rsid w:val="0053546B"/>
    <w:rsid w:val="00536F4B"/>
    <w:rsid w:val="0057229A"/>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967BE"/>
    <w:rsid w:val="007A0EFF"/>
    <w:rsid w:val="007A1F18"/>
    <w:rsid w:val="007A65DF"/>
    <w:rsid w:val="007B2076"/>
    <w:rsid w:val="007C4EE0"/>
    <w:rsid w:val="007D3FC6"/>
    <w:rsid w:val="007D5860"/>
    <w:rsid w:val="007E7FB0"/>
    <w:rsid w:val="008006FC"/>
    <w:rsid w:val="008067CC"/>
    <w:rsid w:val="00814628"/>
    <w:rsid w:val="00816453"/>
    <w:rsid w:val="0084252E"/>
    <w:rsid w:val="008531F0"/>
    <w:rsid w:val="00854002"/>
    <w:rsid w:val="00892424"/>
    <w:rsid w:val="008947AE"/>
    <w:rsid w:val="00896221"/>
    <w:rsid w:val="008A3F8E"/>
    <w:rsid w:val="008E0484"/>
    <w:rsid w:val="008E36D7"/>
    <w:rsid w:val="009075E2"/>
    <w:rsid w:val="009514B1"/>
    <w:rsid w:val="009515A0"/>
    <w:rsid w:val="00954FA9"/>
    <w:rsid w:val="00957200"/>
    <w:rsid w:val="0095755A"/>
    <w:rsid w:val="00961CC9"/>
    <w:rsid w:val="009655C0"/>
    <w:rsid w:val="009671AB"/>
    <w:rsid w:val="00971722"/>
    <w:rsid w:val="009955D3"/>
    <w:rsid w:val="009C0ED6"/>
    <w:rsid w:val="009D69D5"/>
    <w:rsid w:val="00A00DF9"/>
    <w:rsid w:val="00A02103"/>
    <w:rsid w:val="00A2480E"/>
    <w:rsid w:val="00A254A1"/>
    <w:rsid w:val="00A274B9"/>
    <w:rsid w:val="00A40911"/>
    <w:rsid w:val="00A518E1"/>
    <w:rsid w:val="00A560CB"/>
    <w:rsid w:val="00A72186"/>
    <w:rsid w:val="00A86D4C"/>
    <w:rsid w:val="00A93FF1"/>
    <w:rsid w:val="00A972A4"/>
    <w:rsid w:val="00AA31C0"/>
    <w:rsid w:val="00AA416A"/>
    <w:rsid w:val="00AA4641"/>
    <w:rsid w:val="00AC584F"/>
    <w:rsid w:val="00AC73F2"/>
    <w:rsid w:val="00AE1B75"/>
    <w:rsid w:val="00AE4816"/>
    <w:rsid w:val="00AE5EBA"/>
    <w:rsid w:val="00B1554C"/>
    <w:rsid w:val="00B156CE"/>
    <w:rsid w:val="00B17BC8"/>
    <w:rsid w:val="00B20A88"/>
    <w:rsid w:val="00B646FB"/>
    <w:rsid w:val="00B8027B"/>
    <w:rsid w:val="00B96037"/>
    <w:rsid w:val="00BA7D09"/>
    <w:rsid w:val="00BB541C"/>
    <w:rsid w:val="00BC31BC"/>
    <w:rsid w:val="00BC5C3F"/>
    <w:rsid w:val="00BD1B8C"/>
    <w:rsid w:val="00BF20C5"/>
    <w:rsid w:val="00C12F9A"/>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F070B"/>
    <w:rsid w:val="00D007E3"/>
    <w:rsid w:val="00D16302"/>
    <w:rsid w:val="00D173A8"/>
    <w:rsid w:val="00D2368C"/>
    <w:rsid w:val="00D2665E"/>
    <w:rsid w:val="00D436A4"/>
    <w:rsid w:val="00D54C40"/>
    <w:rsid w:val="00D718AA"/>
    <w:rsid w:val="00D71E76"/>
    <w:rsid w:val="00D732A5"/>
    <w:rsid w:val="00D7570D"/>
    <w:rsid w:val="00D801DC"/>
    <w:rsid w:val="00DB08AF"/>
    <w:rsid w:val="00DF1A44"/>
    <w:rsid w:val="00DF4B7C"/>
    <w:rsid w:val="00DF7BA5"/>
    <w:rsid w:val="00E02BA3"/>
    <w:rsid w:val="00E14F0F"/>
    <w:rsid w:val="00E20BE0"/>
    <w:rsid w:val="00E23326"/>
    <w:rsid w:val="00E432A1"/>
    <w:rsid w:val="00E4641B"/>
    <w:rsid w:val="00E551B5"/>
    <w:rsid w:val="00E551E6"/>
    <w:rsid w:val="00E61CE6"/>
    <w:rsid w:val="00E62D66"/>
    <w:rsid w:val="00E867A4"/>
    <w:rsid w:val="00EA11AC"/>
    <w:rsid w:val="00EA5626"/>
    <w:rsid w:val="00EC7340"/>
    <w:rsid w:val="00ED18BE"/>
    <w:rsid w:val="00ED68B9"/>
    <w:rsid w:val="00ED7D74"/>
    <w:rsid w:val="00EE13A1"/>
    <w:rsid w:val="00EE3673"/>
    <w:rsid w:val="00EF2F5D"/>
    <w:rsid w:val="00F02587"/>
    <w:rsid w:val="00F156D2"/>
    <w:rsid w:val="00F167A5"/>
    <w:rsid w:val="00F51C71"/>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3955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Monger, Phil</cp:lastModifiedBy>
  <cp:revision>3</cp:revision>
  <cp:lastPrinted>2024-03-14T05:17:00Z</cp:lastPrinted>
  <dcterms:created xsi:type="dcterms:W3CDTF">2026-06-17T07:18:00Z</dcterms:created>
  <dcterms:modified xsi:type="dcterms:W3CDTF">2026-06-17T07:19:00Z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1271333749</vt:i4>
  </property>
  <property fmtid="{D5CDD505-2E9C-101B-9397-08002B2CF9AE}" pid="11" name="_NewReviewCycle">
    <vt:lpwstr/>
  </property>
  <property fmtid="{D5CDD505-2E9C-101B-9397-08002B2CF9AE}" pid="12" name="_EmailSubject">
    <vt:lpwstr>Approved JDF Template</vt:lpwstr>
  </property>
  <property fmtid="{D5CDD505-2E9C-101B-9397-08002B2CF9AE}" pid="13" name="_AuthorEmail">
    <vt:lpwstr>Shane.Pike@dpc.wa.gov.au</vt:lpwstr>
  </property>
  <property fmtid="{D5CDD505-2E9C-101B-9397-08002B2CF9AE}" pid="14" name="_AuthorEmailDisplayName">
    <vt:lpwstr>Pike, Shane</vt:lpwstr>
  </property>
  <property fmtid="{D5CDD505-2E9C-101B-9397-08002B2CF9AE}" pid="15" name="_ReviewingToolsShownOnce">
    <vt:lpwstr/>
  </property>
</Properties>
</file>