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16"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2715"/>
        <w:gridCol w:w="2693"/>
        <w:gridCol w:w="2704"/>
        <w:gridCol w:w="2704"/>
      </w:tblGrid>
      <w:tr w:rsidR="00FC781E" w14:paraId="4123638A" w14:textId="77777777" w:rsidTr="00E438A7">
        <w:trPr>
          <w:trHeight w:val="375"/>
        </w:trPr>
        <w:tc>
          <w:tcPr>
            <w:tcW w:w="2715" w:type="dxa"/>
            <w:shd w:val="clear" w:color="auto" w:fill="12233B"/>
          </w:tcPr>
          <w:p w14:paraId="0FB4DFAB" w14:textId="02935E35" w:rsidR="00FC781E" w:rsidRDefault="00FC781E" w:rsidP="00EF6C67">
            <w:r w:rsidRPr="00C56FE7">
              <w:rPr>
                <w:rFonts w:ascii="Calibri" w:hAnsi="Calibri" w:cs="Calibri"/>
                <w:b/>
                <w:bCs/>
                <w:color w:val="FFFFFF" w:themeColor="background1"/>
              </w:rPr>
              <w:t>AWARD</w:t>
            </w:r>
            <w:r w:rsidR="00BC470A">
              <w:rPr>
                <w:rFonts w:ascii="Calibri" w:hAnsi="Calibri" w:cs="Calibri"/>
                <w:b/>
                <w:bCs/>
                <w:color w:val="FFFFFF" w:themeColor="background1"/>
              </w:rPr>
              <w:t>/</w:t>
            </w:r>
            <w:r w:rsidRPr="00C56FE7">
              <w:rPr>
                <w:rFonts w:ascii="Calibri" w:hAnsi="Calibri" w:cs="Calibri"/>
                <w:b/>
                <w:bCs/>
                <w:color w:val="FFFFFF" w:themeColor="background1"/>
              </w:rPr>
              <w:t>CLASSIFICATION</w:t>
            </w:r>
          </w:p>
        </w:tc>
        <w:tc>
          <w:tcPr>
            <w:tcW w:w="2693" w:type="dxa"/>
            <w:shd w:val="clear" w:color="auto" w:fill="EEEFF2"/>
          </w:tcPr>
          <w:p w14:paraId="28F54A63" w14:textId="74E01B79" w:rsidR="00FC781E" w:rsidRPr="00EF6C67" w:rsidRDefault="00F15055" w:rsidP="00EF6C67">
            <w:pPr>
              <w:rPr>
                <w:rFonts w:ascii="Calibri" w:hAnsi="Calibri" w:cs="Calibri"/>
              </w:rPr>
            </w:pPr>
            <w:r>
              <w:rPr>
                <w:rFonts w:ascii="Calibri" w:hAnsi="Calibri" w:cs="Calibri"/>
              </w:rPr>
              <w:t xml:space="preserve">Level </w:t>
            </w:r>
            <w:r w:rsidR="003223D3">
              <w:rPr>
                <w:rFonts w:ascii="Calibri" w:hAnsi="Calibri" w:cs="Calibri"/>
              </w:rPr>
              <w:t>9</w:t>
            </w:r>
            <w:r w:rsidR="008A6FDA">
              <w:rPr>
                <w:rFonts w:ascii="Calibri" w:hAnsi="Calibri" w:cs="Calibri"/>
              </w:rPr>
              <w:t xml:space="preserve"> PSCSAA</w:t>
            </w:r>
          </w:p>
        </w:tc>
        <w:tc>
          <w:tcPr>
            <w:tcW w:w="2704" w:type="dxa"/>
            <w:shd w:val="clear" w:color="auto" w:fill="12233B"/>
          </w:tcPr>
          <w:p w14:paraId="65337255" w14:textId="3613180B" w:rsidR="00FC781E" w:rsidRPr="002D4154" w:rsidRDefault="002D4154" w:rsidP="00EF6C67">
            <w:pPr>
              <w:rPr>
                <w:rFonts w:ascii="Calibri" w:hAnsi="Calibri" w:cs="Calibri"/>
                <w:b/>
                <w:bCs/>
              </w:rPr>
            </w:pPr>
            <w:r w:rsidRPr="002D4154">
              <w:rPr>
                <w:b/>
                <w:bCs/>
              </w:rPr>
              <w:t>ANZSCO</w:t>
            </w:r>
          </w:p>
        </w:tc>
        <w:tc>
          <w:tcPr>
            <w:tcW w:w="2704" w:type="dxa"/>
            <w:shd w:val="clear" w:color="auto" w:fill="EEEFF2"/>
          </w:tcPr>
          <w:p w14:paraId="01B613D4" w14:textId="361AC763" w:rsidR="00FC781E" w:rsidRPr="00EF6C67" w:rsidRDefault="00BC470A" w:rsidP="00EF6C67">
            <w:pPr>
              <w:rPr>
                <w:rFonts w:ascii="Calibri" w:hAnsi="Calibri" w:cs="Calibri"/>
              </w:rPr>
            </w:pPr>
            <w:r>
              <w:rPr>
                <w:rFonts w:ascii="Calibri" w:hAnsi="Calibri" w:cs="Calibri"/>
              </w:rPr>
              <w:t>111211</w:t>
            </w:r>
          </w:p>
        </w:tc>
      </w:tr>
      <w:tr w:rsidR="00FC781E" w14:paraId="44F62FDA" w14:textId="77777777" w:rsidTr="00925824">
        <w:trPr>
          <w:trHeight w:val="269"/>
        </w:trPr>
        <w:tc>
          <w:tcPr>
            <w:tcW w:w="2715" w:type="dxa"/>
            <w:shd w:val="clear" w:color="auto" w:fill="12233B"/>
          </w:tcPr>
          <w:p w14:paraId="05AE6F78" w14:textId="77777777" w:rsidR="00FC781E" w:rsidRDefault="00FC781E" w:rsidP="00EF6C67">
            <w:r w:rsidRPr="00C56FE7">
              <w:rPr>
                <w:rFonts w:ascii="Calibri" w:hAnsi="Calibri" w:cs="Calibri"/>
                <w:b/>
                <w:bCs/>
                <w:color w:val="FFFFFF" w:themeColor="background1"/>
              </w:rPr>
              <w:t>DIRECTORATE</w:t>
            </w:r>
          </w:p>
        </w:tc>
        <w:tc>
          <w:tcPr>
            <w:tcW w:w="2693" w:type="dxa"/>
            <w:shd w:val="clear" w:color="auto" w:fill="EEEFF2"/>
          </w:tcPr>
          <w:p w14:paraId="0FF6F9E8" w14:textId="611CA0C3" w:rsidR="00FC781E" w:rsidRPr="00BA0F82" w:rsidRDefault="00A767C5" w:rsidP="00EF6C67">
            <w:pPr>
              <w:rPr>
                <w:rFonts w:ascii="Calibri" w:hAnsi="Calibri" w:cs="Calibri"/>
              </w:rPr>
            </w:pPr>
            <w:r w:rsidRPr="00BA0F82">
              <w:rPr>
                <w:rFonts w:ascii="Calibri" w:hAnsi="Calibri" w:cs="Calibri"/>
              </w:rPr>
              <w:t>Deputy CEO</w:t>
            </w:r>
          </w:p>
        </w:tc>
        <w:tc>
          <w:tcPr>
            <w:tcW w:w="2704" w:type="dxa"/>
            <w:shd w:val="clear" w:color="auto" w:fill="12233B"/>
          </w:tcPr>
          <w:p w14:paraId="10DDEC50" w14:textId="0999BA18" w:rsidR="00FC781E" w:rsidRPr="002D4154" w:rsidRDefault="002D4154" w:rsidP="00EF6C67">
            <w:pPr>
              <w:rPr>
                <w:rFonts w:ascii="Calibri" w:hAnsi="Calibri" w:cs="Calibri"/>
                <w:b/>
                <w:bCs/>
              </w:rPr>
            </w:pPr>
            <w:r w:rsidRPr="002D4154">
              <w:rPr>
                <w:b/>
                <w:bCs/>
              </w:rPr>
              <w:t>BRANCH</w:t>
            </w:r>
          </w:p>
        </w:tc>
        <w:tc>
          <w:tcPr>
            <w:tcW w:w="2704" w:type="dxa"/>
            <w:shd w:val="clear" w:color="auto" w:fill="EEEFF2"/>
          </w:tcPr>
          <w:p w14:paraId="2CBF60ED" w14:textId="79CE51EF" w:rsidR="00FC781E" w:rsidRPr="00E945DB" w:rsidRDefault="004D48E2" w:rsidP="00EF6C67">
            <w:pPr>
              <w:rPr>
                <w:rFonts w:ascii="Calibri" w:hAnsi="Calibri" w:cs="Calibri"/>
              </w:rPr>
            </w:pPr>
            <w:r>
              <w:rPr>
                <w:rFonts w:ascii="Calibri" w:hAnsi="Calibri" w:cs="Calibri"/>
              </w:rPr>
              <w:t>Perth Motorsport Events Group</w:t>
            </w:r>
          </w:p>
        </w:tc>
      </w:tr>
      <w:tr w:rsidR="00FC781E" w14:paraId="68D669DB" w14:textId="77777777" w:rsidTr="00925824">
        <w:trPr>
          <w:trHeight w:val="284"/>
        </w:trPr>
        <w:tc>
          <w:tcPr>
            <w:tcW w:w="2715" w:type="dxa"/>
            <w:shd w:val="clear" w:color="auto" w:fill="12233B"/>
          </w:tcPr>
          <w:p w14:paraId="33968A2C" w14:textId="77777777" w:rsidR="00FC781E" w:rsidRDefault="00FC781E" w:rsidP="00FC781E">
            <w:r w:rsidRPr="00C56FE7">
              <w:rPr>
                <w:rFonts w:ascii="Calibri" w:hAnsi="Calibri" w:cs="Calibri"/>
                <w:b/>
                <w:bCs/>
                <w:color w:val="FFFFFF" w:themeColor="background1"/>
              </w:rPr>
              <w:t>LINE MANAGER</w:t>
            </w:r>
          </w:p>
        </w:tc>
        <w:tc>
          <w:tcPr>
            <w:tcW w:w="2693" w:type="dxa"/>
            <w:shd w:val="clear" w:color="auto" w:fill="EEEFF2"/>
          </w:tcPr>
          <w:p w14:paraId="313F9ADE" w14:textId="53864547" w:rsidR="00FC781E" w:rsidRPr="00BA0F82" w:rsidRDefault="00A767C5" w:rsidP="00FC781E">
            <w:pPr>
              <w:rPr>
                <w:rFonts w:ascii="Calibri" w:hAnsi="Calibri" w:cs="Calibri"/>
              </w:rPr>
            </w:pPr>
            <w:r w:rsidRPr="00BA0F82">
              <w:rPr>
                <w:rFonts w:ascii="Calibri" w:hAnsi="Calibri" w:cs="Calibri"/>
              </w:rPr>
              <w:t>Deputy CEO</w:t>
            </w:r>
            <w:r w:rsidR="00D1348E" w:rsidRPr="00BA0F82">
              <w:rPr>
                <w:rFonts w:ascii="Calibri" w:hAnsi="Calibri" w:cs="Calibri"/>
              </w:rPr>
              <w:t xml:space="preserve"> </w:t>
            </w:r>
          </w:p>
        </w:tc>
        <w:tc>
          <w:tcPr>
            <w:tcW w:w="2704" w:type="dxa"/>
            <w:shd w:val="clear" w:color="auto" w:fill="12233B"/>
          </w:tcPr>
          <w:p w14:paraId="70250B2A" w14:textId="292A7764" w:rsidR="00FC781E" w:rsidRPr="002D4154" w:rsidRDefault="002D4154" w:rsidP="00FC781E">
            <w:pPr>
              <w:rPr>
                <w:rFonts w:ascii="Calibri" w:hAnsi="Calibri" w:cs="Calibri"/>
                <w:b/>
                <w:bCs/>
              </w:rPr>
            </w:pPr>
            <w:r w:rsidRPr="002D4154">
              <w:rPr>
                <w:b/>
                <w:bCs/>
              </w:rPr>
              <w:t>DIRECT REPORTS</w:t>
            </w:r>
          </w:p>
        </w:tc>
        <w:tc>
          <w:tcPr>
            <w:tcW w:w="2704" w:type="dxa"/>
            <w:shd w:val="clear" w:color="auto" w:fill="EEEFF2"/>
          </w:tcPr>
          <w:p w14:paraId="582A4643" w14:textId="51E4D9D9" w:rsidR="00FC781E" w:rsidRPr="00BC470A" w:rsidRDefault="00BA0F82" w:rsidP="00BC470A">
            <w:pPr>
              <w:rPr>
                <w:rFonts w:ascii="Calibri" w:hAnsi="Calibri" w:cs="Calibri"/>
              </w:rPr>
            </w:pPr>
            <w:r>
              <w:rPr>
                <w:rFonts w:ascii="Calibri" w:hAnsi="Calibri" w:cs="Calibri"/>
              </w:rPr>
              <w:t>To be confirmed</w:t>
            </w:r>
          </w:p>
        </w:tc>
      </w:tr>
      <w:tr w:rsidR="002D4154" w14:paraId="036E9E56" w14:textId="77777777">
        <w:trPr>
          <w:trHeight w:val="284"/>
        </w:trPr>
        <w:tc>
          <w:tcPr>
            <w:tcW w:w="2715" w:type="dxa"/>
            <w:shd w:val="clear" w:color="auto" w:fill="12233B"/>
          </w:tcPr>
          <w:p w14:paraId="1A38604E" w14:textId="4EF9966F" w:rsidR="002D4154" w:rsidRPr="00C56FE7" w:rsidRDefault="002D4154" w:rsidP="00FC781E">
            <w:pPr>
              <w:rPr>
                <w:rFonts w:ascii="Calibri" w:hAnsi="Calibri" w:cs="Calibri"/>
                <w:b/>
                <w:bCs/>
                <w:color w:val="FFFFFF" w:themeColor="background1"/>
              </w:rPr>
            </w:pPr>
            <w:r>
              <w:rPr>
                <w:rFonts w:ascii="Calibri" w:hAnsi="Calibri" w:cs="Calibri"/>
                <w:b/>
                <w:bCs/>
                <w:color w:val="FFFFFF" w:themeColor="background1"/>
              </w:rPr>
              <w:t>SPECIAL CONDITIONS</w:t>
            </w:r>
          </w:p>
        </w:tc>
        <w:tc>
          <w:tcPr>
            <w:tcW w:w="8101" w:type="dxa"/>
            <w:gridSpan w:val="3"/>
            <w:shd w:val="clear" w:color="auto" w:fill="EEEFF2"/>
          </w:tcPr>
          <w:p w14:paraId="65AEF15E" w14:textId="7748469E" w:rsidR="002D4154" w:rsidRPr="001B204A" w:rsidRDefault="00BA0F82" w:rsidP="00A767C5">
            <w:pPr>
              <w:rPr>
                <w:rFonts w:ascii="Calibri" w:hAnsi="Calibri" w:cs="Calibri"/>
              </w:rPr>
            </w:pPr>
            <w:r>
              <w:rPr>
                <w:rFonts w:ascii="Calibri" w:hAnsi="Calibri" w:cs="Calibri"/>
              </w:rPr>
              <w:t>Nil</w:t>
            </w:r>
          </w:p>
        </w:tc>
      </w:tr>
    </w:tbl>
    <w:p w14:paraId="04A7D785" w14:textId="77777777" w:rsidR="00C56FE7" w:rsidRDefault="00C56FE7"/>
    <w:p w14:paraId="135B3C2D" w14:textId="77777777" w:rsidR="0082481A" w:rsidRPr="002215C1" w:rsidRDefault="0082481A" w:rsidP="0082481A">
      <w:pPr>
        <w:pStyle w:val="Heading2"/>
        <w:rPr>
          <w:rFonts w:ascii="Calibri" w:hAnsi="Calibri" w:cs="Calibri"/>
          <w:b/>
          <w:bCs/>
          <w:color w:val="12233B"/>
          <w:sz w:val="24"/>
          <w:szCs w:val="24"/>
        </w:rPr>
      </w:pPr>
      <w:r w:rsidRPr="002215C1">
        <w:rPr>
          <w:rFonts w:ascii="Calibri" w:hAnsi="Calibri" w:cs="Calibri"/>
          <w:b/>
          <w:bCs/>
          <w:color w:val="12233B"/>
          <w:sz w:val="24"/>
          <w:szCs w:val="24"/>
        </w:rPr>
        <w:t>ABOUT THE VENUESWEST WAY</w:t>
      </w:r>
    </w:p>
    <w:p w14:paraId="2E203595" w14:textId="77777777" w:rsidR="0082481A" w:rsidRPr="00FC539A" w:rsidRDefault="0082481A" w:rsidP="0082481A">
      <w:pPr>
        <w:rPr>
          <w:rFonts w:ascii="Calibri" w:hAnsi="Calibri" w:cs="Calibri"/>
        </w:rPr>
      </w:pPr>
      <w:r w:rsidRPr="00FC539A">
        <w:rPr>
          <w:rFonts w:ascii="Calibri" w:hAnsi="Calibri" w:cs="Calibri"/>
        </w:rPr>
        <w:t>It is our system of defining and measuring our culture and sets the expectation on how we engage, improve, support and challenge one another to be the safest and best we can be – as individuals and a collective. Our signature behaviours are:</w:t>
      </w:r>
    </w:p>
    <w:p w14:paraId="26728B6B" w14:textId="799F72A7" w:rsidR="0082481A" w:rsidRDefault="0082481A" w:rsidP="00506A7A">
      <w:pPr>
        <w:pStyle w:val="Heading2"/>
        <w:rPr>
          <w:rFonts w:ascii="Calibri" w:hAnsi="Calibri" w:cs="Calibri"/>
          <w:b/>
          <w:bCs/>
          <w:color w:val="12233B"/>
          <w:sz w:val="24"/>
          <w:szCs w:val="24"/>
        </w:rPr>
      </w:pPr>
      <w:r>
        <w:rPr>
          <w:rFonts w:ascii="Calibri" w:hAnsi="Calibri" w:cs="Calibri"/>
          <w:b/>
          <w:bCs/>
          <w:noProof/>
          <w:color w:val="12233B"/>
          <w:sz w:val="24"/>
          <w:szCs w:val="24"/>
        </w:rPr>
        <w:drawing>
          <wp:inline distT="0" distB="0" distL="0" distR="0" wp14:anchorId="3EE8F0DC" wp14:editId="325ECB06">
            <wp:extent cx="6696710" cy="1394460"/>
            <wp:effectExtent l="0" t="0" r="8890" b="0"/>
            <wp:docPr id="487939133" name="Picture 3" descr="A group of icons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39133" name="Picture 3" descr="A group of icons with a star in the midd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6710" cy="1394460"/>
                    </a:xfrm>
                    <a:prstGeom prst="rect">
                      <a:avLst/>
                    </a:prstGeom>
                  </pic:spPr>
                </pic:pic>
              </a:graphicData>
            </a:graphic>
          </wp:inline>
        </w:drawing>
      </w:r>
    </w:p>
    <w:p w14:paraId="4DA7C0DB" w14:textId="697AC8B4" w:rsidR="00506A7A" w:rsidRDefault="00E16E6D" w:rsidP="00506A7A">
      <w:pPr>
        <w:pStyle w:val="Heading2"/>
        <w:rPr>
          <w:rFonts w:ascii="Calibri" w:hAnsi="Calibri" w:cs="Calibri"/>
          <w:b/>
          <w:bCs/>
          <w:color w:val="12233B"/>
          <w:sz w:val="24"/>
          <w:szCs w:val="24"/>
        </w:rPr>
      </w:pPr>
      <w:r w:rsidRPr="00E16E6D">
        <w:rPr>
          <w:rFonts w:ascii="Calibri" w:hAnsi="Calibri" w:cs="Calibri"/>
          <w:b/>
          <w:bCs/>
          <w:color w:val="12233B"/>
          <w:sz w:val="24"/>
          <w:szCs w:val="24"/>
        </w:rPr>
        <w:t>ABOUT THE ROLE</w:t>
      </w:r>
    </w:p>
    <w:p w14:paraId="722B2EBD" w14:textId="2ACF343A" w:rsidR="001C3EF6" w:rsidRPr="001C3EF6" w:rsidRDefault="001C3EF6" w:rsidP="001C3EF6">
      <w:pPr>
        <w:rPr>
          <w:rFonts w:ascii="Calibri" w:hAnsi="Calibri" w:cs="Calibri"/>
        </w:rPr>
      </w:pPr>
      <w:r w:rsidRPr="001C3EF6">
        <w:rPr>
          <w:rFonts w:ascii="Calibri" w:hAnsi="Calibri" w:cs="Calibri"/>
        </w:rPr>
        <w:t xml:space="preserve">The General Manager Perth </w:t>
      </w:r>
      <w:r w:rsidR="00444714">
        <w:rPr>
          <w:rFonts w:ascii="Calibri" w:hAnsi="Calibri" w:cs="Calibri"/>
        </w:rPr>
        <w:t>Park Motorsports</w:t>
      </w:r>
      <w:r w:rsidRPr="001C3EF6">
        <w:rPr>
          <w:rFonts w:ascii="Calibri" w:hAnsi="Calibri" w:cs="Calibri"/>
        </w:rPr>
        <w:t xml:space="preserve"> provides leadership and direction in the establishment and delivery of the Perth Supercars event at Perth Park, a flagship major event for Western Australia.</w:t>
      </w:r>
    </w:p>
    <w:p w14:paraId="7DACEB0A" w14:textId="01A856ED" w:rsidR="001C3EF6" w:rsidRPr="001C3EF6" w:rsidRDefault="001C3EF6" w:rsidP="001C3EF6">
      <w:pPr>
        <w:rPr>
          <w:rFonts w:ascii="Calibri" w:hAnsi="Calibri" w:cs="Calibri"/>
        </w:rPr>
      </w:pPr>
      <w:r w:rsidRPr="001C3EF6">
        <w:rPr>
          <w:rFonts w:ascii="Calibri" w:hAnsi="Calibri" w:cs="Calibri"/>
        </w:rPr>
        <w:t>A first phase of the role is leading the pre-operational establishment of the function within VenuesWest</w:t>
      </w:r>
      <w:r w:rsidR="004D48E2">
        <w:rPr>
          <w:rFonts w:ascii="Calibri" w:hAnsi="Calibri" w:cs="Calibri"/>
        </w:rPr>
        <w:t xml:space="preserve"> to s</w:t>
      </w:r>
      <w:r w:rsidR="00374E00">
        <w:rPr>
          <w:rFonts w:ascii="Calibri" w:hAnsi="Calibri" w:cs="Calibri"/>
        </w:rPr>
        <w:t>u</w:t>
      </w:r>
      <w:r w:rsidR="004D48E2">
        <w:rPr>
          <w:rFonts w:ascii="Calibri" w:hAnsi="Calibri" w:cs="Calibri"/>
        </w:rPr>
        <w:t>pport the planning and delivery of the race</w:t>
      </w:r>
      <w:r w:rsidRPr="001C3EF6">
        <w:rPr>
          <w:rFonts w:ascii="Calibri" w:hAnsi="Calibri" w:cs="Calibri"/>
        </w:rPr>
        <w:t>. This includes defining the operating model, building the team, progressing key commercial and delivery workstreams, and ensuring the organisation is fully prepared for event delivery.</w:t>
      </w:r>
    </w:p>
    <w:p w14:paraId="6DC1CB80" w14:textId="77777777" w:rsidR="001C3EF6" w:rsidRPr="001C3EF6" w:rsidRDefault="001C3EF6" w:rsidP="001C3EF6">
      <w:pPr>
        <w:rPr>
          <w:rFonts w:ascii="Calibri" w:hAnsi="Calibri" w:cs="Calibri"/>
        </w:rPr>
      </w:pPr>
      <w:r w:rsidRPr="001C3EF6">
        <w:rPr>
          <w:rFonts w:ascii="Calibri" w:hAnsi="Calibri" w:cs="Calibri"/>
        </w:rPr>
        <w:t>As part of this phase, the role is responsible for leading a comprehensive risk assessment of the event and delivery model, including identification and mitigation of commercial, operational, safety, regulatory and reputational risks to inform planning, procurement and key decision-making.</w:t>
      </w:r>
    </w:p>
    <w:p w14:paraId="3EA8EADB" w14:textId="77777777" w:rsidR="001C3EF6" w:rsidRPr="001C3EF6" w:rsidRDefault="001C3EF6" w:rsidP="001C3EF6">
      <w:pPr>
        <w:rPr>
          <w:rFonts w:ascii="Calibri" w:hAnsi="Calibri" w:cs="Calibri"/>
        </w:rPr>
      </w:pPr>
      <w:r w:rsidRPr="001C3EF6">
        <w:rPr>
          <w:rFonts w:ascii="Calibri" w:hAnsi="Calibri" w:cs="Calibri"/>
        </w:rPr>
        <w:t>The role is responsible for end-to-end planning and delivery of the event, including operational readiness, commercial performance, stakeholder alignment and governance, ensuring a successful inaugural event in February 2028 and sustainable ongoing delivery.</w:t>
      </w:r>
    </w:p>
    <w:p w14:paraId="7146A90D" w14:textId="77777777" w:rsidR="001C3EF6" w:rsidRPr="001C3EF6" w:rsidRDefault="001C3EF6" w:rsidP="001C3EF6">
      <w:pPr>
        <w:rPr>
          <w:rFonts w:ascii="Calibri" w:hAnsi="Calibri" w:cs="Calibri"/>
        </w:rPr>
      </w:pPr>
      <w:r w:rsidRPr="001C3EF6">
        <w:rPr>
          <w:rFonts w:ascii="Calibri" w:hAnsi="Calibri" w:cs="Calibri"/>
        </w:rPr>
        <w:t xml:space="preserve">In addition, the role is tasked with the </w:t>
      </w:r>
      <w:proofErr w:type="spellStart"/>
      <w:r w:rsidRPr="001C3EF6">
        <w:rPr>
          <w:rFonts w:ascii="Calibri" w:hAnsi="Calibri" w:cs="Calibri"/>
        </w:rPr>
        <w:t>festivalisation</w:t>
      </w:r>
      <w:proofErr w:type="spellEnd"/>
      <w:r w:rsidRPr="001C3EF6">
        <w:rPr>
          <w:rFonts w:ascii="Calibri" w:hAnsi="Calibri" w:cs="Calibri"/>
        </w:rPr>
        <w:t xml:space="preserve"> of the event beyond the race weekend at Perth Park, leading the development and delivery of a broader program of activity to engage the Western Australian community and maximise whole-of-state impact.</w:t>
      </w:r>
    </w:p>
    <w:p w14:paraId="3ED03B3A" w14:textId="77777777" w:rsidR="001C3EF6" w:rsidRPr="001C3EF6" w:rsidRDefault="001C3EF6" w:rsidP="001C3EF6">
      <w:pPr>
        <w:rPr>
          <w:rFonts w:ascii="Calibri" w:hAnsi="Calibri" w:cs="Calibri"/>
        </w:rPr>
      </w:pPr>
      <w:r w:rsidRPr="001C3EF6">
        <w:rPr>
          <w:rFonts w:ascii="Calibri" w:hAnsi="Calibri" w:cs="Calibri"/>
        </w:rPr>
        <w:t>This phase will involve close collaboration with internal project teams and external stakeholders, progressively transitioning from planning and procurement into full operational delivery.</w:t>
      </w:r>
    </w:p>
    <w:p w14:paraId="557D024D" w14:textId="77777777" w:rsidR="001C3EF6" w:rsidRPr="001C3EF6" w:rsidRDefault="001C3EF6" w:rsidP="001C3EF6">
      <w:pPr>
        <w:rPr>
          <w:rFonts w:ascii="Calibri" w:hAnsi="Calibri" w:cs="Calibri"/>
        </w:rPr>
      </w:pPr>
      <w:r w:rsidRPr="001C3EF6">
        <w:rPr>
          <w:rFonts w:ascii="Calibri" w:hAnsi="Calibri" w:cs="Calibri"/>
        </w:rPr>
        <w:t>The role maintains and develops strategic relationships with key stakeholders including Supercars Championship, Tourism Western Australia, Main Roads Western Australia and the Department of the Premier and Cabinet to ensure coordinated, compliant and high-quality event delivery.</w:t>
      </w:r>
    </w:p>
    <w:p w14:paraId="379E6807" w14:textId="4B518B6F" w:rsidR="00E164FE" w:rsidRDefault="00E16E6D" w:rsidP="00832025">
      <w:pPr>
        <w:pStyle w:val="Heading2"/>
        <w:rPr>
          <w:rFonts w:ascii="Calibri" w:hAnsi="Calibri" w:cs="Calibri"/>
          <w:b/>
          <w:bCs/>
          <w:color w:val="12233B"/>
          <w:sz w:val="24"/>
          <w:szCs w:val="24"/>
        </w:rPr>
      </w:pPr>
      <w:r w:rsidRPr="00E16E6D">
        <w:rPr>
          <w:rFonts w:ascii="Calibri" w:hAnsi="Calibri" w:cs="Calibri"/>
          <w:b/>
          <w:bCs/>
          <w:color w:val="12233B"/>
          <w:sz w:val="24"/>
          <w:szCs w:val="24"/>
        </w:rPr>
        <w:lastRenderedPageBreak/>
        <w:t>ROLE RESPONSIBILITIES</w:t>
      </w:r>
    </w:p>
    <w:p w14:paraId="53099F8C" w14:textId="2654DF8A" w:rsidR="00871AF2" w:rsidRPr="0075736F" w:rsidRDefault="0075736F" w:rsidP="0075736F">
      <w:pPr>
        <w:jc w:val="center"/>
        <w:rPr>
          <w:rFonts w:ascii="Calibri" w:hAnsi="Calibri" w:cs="Calibri"/>
        </w:rPr>
      </w:pPr>
      <w:r w:rsidRPr="0075736F">
        <w:rPr>
          <w:rFonts w:ascii="Calibri" w:hAnsi="Calibri" w:cs="Calibri"/>
          <w:i/>
        </w:rPr>
        <w:t xml:space="preserve">VenuesWest is committed to the principles of Equal Employment Opportunity (EEO) and diversity in the workplace and the provision of a safe environment for our </w:t>
      </w:r>
      <w:r w:rsidR="00E00209">
        <w:rPr>
          <w:rFonts w:ascii="Calibri" w:hAnsi="Calibri" w:cs="Calibri"/>
          <w:i/>
        </w:rPr>
        <w:t>workers and patrons</w:t>
      </w:r>
      <w:r w:rsidRPr="0075736F">
        <w:rPr>
          <w:rFonts w:ascii="Calibri" w:hAnsi="Calibri" w:cs="Calibri"/>
          <w:i/>
        </w:rPr>
        <w:t xml:space="preserve">. We will perform all duties and responsibilities in a manner and behaviour consistent with EEO legislation, </w:t>
      </w:r>
      <w:r w:rsidR="00E00209">
        <w:rPr>
          <w:rFonts w:ascii="Calibri" w:hAnsi="Calibri" w:cs="Calibri"/>
          <w:i/>
        </w:rPr>
        <w:t>Work Health &amp; Safety</w:t>
      </w:r>
      <w:r w:rsidRPr="0075736F">
        <w:rPr>
          <w:rFonts w:ascii="Calibri" w:hAnsi="Calibri" w:cs="Calibri"/>
          <w:i/>
        </w:rPr>
        <w:t xml:space="preserve"> legislation, VenuesWest’s Code of Conduct, the VenuesWest Way and other relevant Policies/Procedures and legislation.</w:t>
      </w:r>
    </w:p>
    <w:p w14:paraId="792B8A60" w14:textId="77777777" w:rsidR="00E211F2" w:rsidRPr="00E211F2" w:rsidRDefault="00E211F2" w:rsidP="00E211F2">
      <w:pPr>
        <w:pStyle w:val="Heading4"/>
        <w:rPr>
          <w:rFonts w:ascii="Calibri" w:hAnsi="Calibri" w:cs="Calibri"/>
          <w:b/>
          <w:bCs/>
          <w:i w:val="0"/>
          <w:iCs w:val="0"/>
          <w:color w:val="12233B"/>
        </w:rPr>
      </w:pPr>
      <w:r w:rsidRPr="00E211F2">
        <w:rPr>
          <w:rFonts w:ascii="Calibri" w:hAnsi="Calibri" w:cs="Calibri"/>
          <w:b/>
          <w:bCs/>
          <w:i w:val="0"/>
          <w:iCs w:val="0"/>
          <w:color w:val="12233B"/>
        </w:rPr>
        <w:t>CORPORATE GOVERNANCE</w:t>
      </w:r>
    </w:p>
    <w:p w14:paraId="16688FDF" w14:textId="49354ED1"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Facilitates continuous improvement through development, monitoring and achievement of business plans, budgets and KPIs for the function </w:t>
      </w:r>
    </w:p>
    <w:p w14:paraId="44640F64" w14:textId="77777777"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Manages resources to deliver on VenuesWest’s Accountability and Performance Framework </w:t>
      </w:r>
    </w:p>
    <w:p w14:paraId="4DAF3DB4" w14:textId="77777777"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Identifies and manages risks including commercial, financial, operational and reputational risks </w:t>
      </w:r>
    </w:p>
    <w:p w14:paraId="56DEFC14" w14:textId="77777777"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Ensures compliance with governance frameworks, policies, legislation and regulatory requirements </w:t>
      </w:r>
    </w:p>
    <w:p w14:paraId="2598526B" w14:textId="77777777" w:rsidR="00E211F2" w:rsidRPr="00E211F2" w:rsidRDefault="00E211F2" w:rsidP="00E211F2">
      <w:pPr>
        <w:pStyle w:val="Heading4"/>
        <w:rPr>
          <w:rFonts w:ascii="Calibri" w:hAnsi="Calibri" w:cs="Calibri"/>
          <w:b/>
          <w:bCs/>
          <w:i w:val="0"/>
          <w:iCs w:val="0"/>
          <w:color w:val="12233B"/>
        </w:rPr>
      </w:pPr>
      <w:r w:rsidRPr="00E211F2">
        <w:rPr>
          <w:rFonts w:ascii="Calibri" w:hAnsi="Calibri" w:cs="Calibri"/>
          <w:b/>
          <w:bCs/>
          <w:i w:val="0"/>
          <w:iCs w:val="0"/>
          <w:color w:val="12233B"/>
        </w:rPr>
        <w:t>STAKEHOLDER MANAGEMENT</w:t>
      </w:r>
    </w:p>
    <w:p w14:paraId="5F9EA058" w14:textId="77777777"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Develops and maintains strong relationships across government, industry and commercial partners </w:t>
      </w:r>
    </w:p>
    <w:p w14:paraId="637A4920" w14:textId="77777777"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Leads high-level negotiations with key stakeholders, including rights holders, promoters and suppliers </w:t>
      </w:r>
    </w:p>
    <w:p w14:paraId="655445D0" w14:textId="77777777"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Represents VenuesWest in complex discussions and negotiations </w:t>
      </w:r>
    </w:p>
    <w:p w14:paraId="6D0719B2" w14:textId="16471421"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Ensures effective coordination across multiple agencies and precinct partners </w:t>
      </w:r>
    </w:p>
    <w:p w14:paraId="59E26215" w14:textId="77777777" w:rsidR="00E211F2" w:rsidRPr="00E211F2" w:rsidRDefault="00E211F2" w:rsidP="00E211F2">
      <w:pPr>
        <w:pStyle w:val="Heading4"/>
        <w:rPr>
          <w:rFonts w:ascii="Calibri" w:hAnsi="Calibri" w:cs="Calibri"/>
          <w:b/>
          <w:bCs/>
          <w:i w:val="0"/>
          <w:iCs w:val="0"/>
          <w:color w:val="12233B"/>
        </w:rPr>
      </w:pPr>
      <w:r w:rsidRPr="00E211F2">
        <w:rPr>
          <w:rFonts w:ascii="Calibri" w:hAnsi="Calibri" w:cs="Calibri"/>
          <w:b/>
          <w:bCs/>
          <w:i w:val="0"/>
          <w:iCs w:val="0"/>
          <w:color w:val="12233B"/>
        </w:rPr>
        <w:t>PEOPLE MANAGEMENT</w:t>
      </w:r>
    </w:p>
    <w:p w14:paraId="5CD9AC46" w14:textId="77777777"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Establishes and leads a high-performing team aligned to the event lifecycle </w:t>
      </w:r>
    </w:p>
    <w:p w14:paraId="25B2E1CF" w14:textId="77777777"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Drives a performance culture aligned to the VenuesWest Way </w:t>
      </w:r>
    </w:p>
    <w:p w14:paraId="5A8D76A6" w14:textId="77777777"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Leads workforce planning, capability development and performance management processes </w:t>
      </w:r>
    </w:p>
    <w:p w14:paraId="000D9DD8" w14:textId="77777777"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Builds organisational capability to support both establishment and delivery phases </w:t>
      </w:r>
    </w:p>
    <w:p w14:paraId="6356C29D" w14:textId="77777777" w:rsidR="00E211F2" w:rsidRPr="00E211F2" w:rsidRDefault="00E211F2" w:rsidP="00E211F2">
      <w:pPr>
        <w:pStyle w:val="Heading4"/>
        <w:rPr>
          <w:rFonts w:ascii="Calibri" w:hAnsi="Calibri" w:cs="Calibri"/>
          <w:b/>
          <w:bCs/>
          <w:i w:val="0"/>
          <w:iCs w:val="0"/>
          <w:color w:val="12233B"/>
        </w:rPr>
      </w:pPr>
      <w:r w:rsidRPr="00E211F2">
        <w:rPr>
          <w:rFonts w:ascii="Calibri" w:hAnsi="Calibri" w:cs="Calibri"/>
          <w:b/>
          <w:bCs/>
          <w:i w:val="0"/>
          <w:iCs w:val="0"/>
          <w:color w:val="12233B"/>
        </w:rPr>
        <w:t>EMERGENCY RESPONSE AND SAFETY MANAGEMENT</w:t>
      </w:r>
    </w:p>
    <w:p w14:paraId="1274F960" w14:textId="77777777"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Ensures the event is delivered as a safe and compliant environment for workers and patrons </w:t>
      </w:r>
    </w:p>
    <w:p w14:paraId="2C8F806A" w14:textId="77777777"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Oversees development and implementation of event safety, risk and emergency management plans </w:t>
      </w:r>
    </w:p>
    <w:p w14:paraId="183E2040" w14:textId="77777777" w:rsidR="00E211F2" w:rsidRPr="00E211F2" w:rsidRDefault="00E211F2" w:rsidP="00E211F2">
      <w:pPr>
        <w:pStyle w:val="ListParagraph"/>
        <w:numPr>
          <w:ilvl w:val="0"/>
          <w:numId w:val="1"/>
        </w:numPr>
        <w:ind w:left="426" w:hanging="426"/>
        <w:rPr>
          <w:rFonts w:ascii="Calibri" w:hAnsi="Calibri" w:cs="Calibri"/>
        </w:rPr>
      </w:pPr>
      <w:r w:rsidRPr="00E211F2">
        <w:rPr>
          <w:rFonts w:ascii="Calibri" w:hAnsi="Calibri" w:cs="Calibri"/>
        </w:rPr>
        <w:t xml:space="preserve">Ensures compliance with all relevant safety legislation and operational standards </w:t>
      </w:r>
    </w:p>
    <w:p w14:paraId="41571DE5" w14:textId="4A83C9D5" w:rsidR="008C476E" w:rsidRPr="008C476E" w:rsidRDefault="00E211F2" w:rsidP="008C476E">
      <w:pPr>
        <w:pStyle w:val="ListParagraph"/>
        <w:numPr>
          <w:ilvl w:val="0"/>
          <w:numId w:val="1"/>
        </w:numPr>
        <w:ind w:left="426" w:hanging="426"/>
        <w:rPr>
          <w:rFonts w:ascii="Calibri" w:hAnsi="Calibri" w:cs="Calibri"/>
        </w:rPr>
      </w:pPr>
      <w:r w:rsidRPr="00E211F2">
        <w:rPr>
          <w:rFonts w:ascii="Calibri" w:hAnsi="Calibri" w:cs="Calibri"/>
        </w:rPr>
        <w:t>Coordinates safety interfaces across multiple contractors and PCBUs</w:t>
      </w:r>
    </w:p>
    <w:p w14:paraId="5679BA46" w14:textId="77777777" w:rsidR="00180CF9" w:rsidRPr="00180CF9" w:rsidRDefault="00180CF9" w:rsidP="00180CF9">
      <w:pPr>
        <w:pStyle w:val="Heading4"/>
        <w:rPr>
          <w:rFonts w:ascii="Calibri" w:hAnsi="Calibri" w:cs="Calibri"/>
          <w:b/>
          <w:bCs/>
          <w:i w:val="0"/>
          <w:iCs w:val="0"/>
          <w:color w:val="12233B"/>
        </w:rPr>
      </w:pPr>
      <w:r w:rsidRPr="00180CF9">
        <w:rPr>
          <w:rFonts w:ascii="Calibri" w:hAnsi="Calibri" w:cs="Calibri"/>
          <w:b/>
          <w:bCs/>
          <w:i w:val="0"/>
          <w:iCs w:val="0"/>
          <w:color w:val="12233B"/>
        </w:rPr>
        <w:t>ROLE SPECIFIC RESPONSIBILITIES</w:t>
      </w:r>
    </w:p>
    <w:p w14:paraId="16EC0598" w14:textId="77777777" w:rsidR="00180CF9" w:rsidRPr="00180CF9" w:rsidRDefault="00180CF9" w:rsidP="00180CF9">
      <w:pPr>
        <w:pStyle w:val="Heading4"/>
        <w:rPr>
          <w:rFonts w:ascii="Calibri" w:hAnsi="Calibri" w:cs="Calibri"/>
          <w:b/>
          <w:bCs/>
          <w:color w:val="12233B"/>
        </w:rPr>
      </w:pPr>
      <w:r w:rsidRPr="00180CF9">
        <w:rPr>
          <w:rFonts w:ascii="Calibri" w:hAnsi="Calibri" w:cs="Calibri"/>
          <w:b/>
          <w:bCs/>
          <w:color w:val="12233B"/>
        </w:rPr>
        <w:t>Pre-Operational / Establishment Phase</w:t>
      </w:r>
    </w:p>
    <w:p w14:paraId="11289070" w14:textId="77777777" w:rsidR="00506564" w:rsidRPr="00506564" w:rsidRDefault="00506564" w:rsidP="00506564">
      <w:pPr>
        <w:pStyle w:val="ListParagraph"/>
        <w:numPr>
          <w:ilvl w:val="0"/>
          <w:numId w:val="1"/>
        </w:numPr>
        <w:ind w:left="426" w:hanging="426"/>
        <w:rPr>
          <w:rFonts w:ascii="Calibri" w:hAnsi="Calibri" w:cs="Calibri"/>
        </w:rPr>
      </w:pPr>
      <w:r w:rsidRPr="00506564">
        <w:rPr>
          <w:rFonts w:ascii="Calibri" w:hAnsi="Calibri" w:cs="Calibri"/>
        </w:rPr>
        <w:t>Leads a comprehensive risk assessment of the event and delivery model, including identification and mitigation of commercial, operational, safety, regulatory and reputational risks to inform planning and decision-making</w:t>
      </w:r>
    </w:p>
    <w:p w14:paraId="1157CFC9" w14:textId="1552A9DD" w:rsidR="00506564" w:rsidRPr="00506564" w:rsidRDefault="00506564" w:rsidP="00506564">
      <w:pPr>
        <w:pStyle w:val="ListParagraph"/>
        <w:numPr>
          <w:ilvl w:val="0"/>
          <w:numId w:val="1"/>
        </w:numPr>
        <w:ind w:left="426" w:hanging="426"/>
        <w:rPr>
          <w:rFonts w:ascii="Calibri" w:hAnsi="Calibri" w:cs="Calibri"/>
        </w:rPr>
      </w:pPr>
      <w:r w:rsidRPr="00506564">
        <w:rPr>
          <w:rFonts w:ascii="Calibri" w:hAnsi="Calibri" w:cs="Calibri"/>
        </w:rPr>
        <w:t>Leads establishment of the function within VenuesWest, including building and leading a dedicated team to deliver the event</w:t>
      </w:r>
    </w:p>
    <w:p w14:paraId="7CFB3616" w14:textId="77777777" w:rsidR="00506564" w:rsidRPr="00506564" w:rsidRDefault="00506564" w:rsidP="00506564">
      <w:pPr>
        <w:pStyle w:val="ListParagraph"/>
        <w:numPr>
          <w:ilvl w:val="0"/>
          <w:numId w:val="1"/>
        </w:numPr>
        <w:ind w:left="426" w:hanging="426"/>
        <w:rPr>
          <w:rFonts w:ascii="Calibri" w:hAnsi="Calibri" w:cs="Calibri"/>
        </w:rPr>
      </w:pPr>
      <w:r w:rsidRPr="00506564">
        <w:rPr>
          <w:rFonts w:ascii="Calibri" w:hAnsi="Calibri" w:cs="Calibri"/>
        </w:rPr>
        <w:t>Develops the operating model, governance framework and delivery structure</w:t>
      </w:r>
    </w:p>
    <w:p w14:paraId="65AA7543" w14:textId="77777777" w:rsidR="00506564" w:rsidRPr="00506564" w:rsidRDefault="00506564" w:rsidP="00506564">
      <w:pPr>
        <w:pStyle w:val="ListParagraph"/>
        <w:numPr>
          <w:ilvl w:val="0"/>
          <w:numId w:val="1"/>
        </w:numPr>
        <w:ind w:left="426" w:hanging="426"/>
        <w:rPr>
          <w:rFonts w:ascii="Calibri" w:hAnsi="Calibri" w:cs="Calibri"/>
        </w:rPr>
      </w:pPr>
      <w:r w:rsidRPr="00506564">
        <w:rPr>
          <w:rFonts w:ascii="Calibri" w:hAnsi="Calibri" w:cs="Calibri"/>
        </w:rPr>
        <w:t>Leads financial modelling, budgeting and Government funding processes (including ERC submissions)</w:t>
      </w:r>
    </w:p>
    <w:p w14:paraId="7175CCF6" w14:textId="44242BA9" w:rsidR="00506564" w:rsidRPr="00506564" w:rsidRDefault="00506564" w:rsidP="00506564">
      <w:pPr>
        <w:pStyle w:val="ListParagraph"/>
        <w:numPr>
          <w:ilvl w:val="0"/>
          <w:numId w:val="1"/>
        </w:numPr>
        <w:ind w:left="426" w:hanging="426"/>
        <w:rPr>
          <w:rFonts w:ascii="Calibri" w:hAnsi="Calibri" w:cs="Calibri"/>
        </w:rPr>
      </w:pPr>
      <w:r w:rsidRPr="00506564">
        <w:rPr>
          <w:rFonts w:ascii="Calibri" w:hAnsi="Calibri" w:cs="Calibri"/>
        </w:rPr>
        <w:t>Leads negotiation of the Supercars sanctioning agreement</w:t>
      </w:r>
      <w:r w:rsidR="004D48E2">
        <w:rPr>
          <w:rFonts w:ascii="Calibri" w:hAnsi="Calibri" w:cs="Calibri"/>
        </w:rPr>
        <w:t xml:space="preserve"> and ongoing management of the agreement</w:t>
      </w:r>
    </w:p>
    <w:p w14:paraId="6609035C" w14:textId="77777777" w:rsidR="00506564" w:rsidRPr="00506564" w:rsidRDefault="00506564" w:rsidP="00506564">
      <w:pPr>
        <w:pStyle w:val="ListParagraph"/>
        <w:numPr>
          <w:ilvl w:val="0"/>
          <w:numId w:val="1"/>
        </w:numPr>
        <w:ind w:left="426" w:hanging="426"/>
        <w:rPr>
          <w:rFonts w:ascii="Calibri" w:hAnsi="Calibri" w:cs="Calibri"/>
        </w:rPr>
      </w:pPr>
      <w:r w:rsidRPr="00506564">
        <w:rPr>
          <w:rFonts w:ascii="Calibri" w:hAnsi="Calibri" w:cs="Calibri"/>
        </w:rPr>
        <w:t>Procures key delivery partners including overlay, infrastructure and event contractors</w:t>
      </w:r>
    </w:p>
    <w:p w14:paraId="3A3FD627" w14:textId="77777777" w:rsidR="00506564" w:rsidRPr="00506564" w:rsidRDefault="00506564" w:rsidP="00506564">
      <w:pPr>
        <w:pStyle w:val="ListParagraph"/>
        <w:numPr>
          <w:ilvl w:val="0"/>
          <w:numId w:val="1"/>
        </w:numPr>
        <w:ind w:left="426" w:hanging="426"/>
        <w:rPr>
          <w:rFonts w:ascii="Calibri" w:hAnsi="Calibri" w:cs="Calibri"/>
        </w:rPr>
      </w:pPr>
      <w:r w:rsidRPr="00506564">
        <w:rPr>
          <w:rFonts w:ascii="Calibri" w:hAnsi="Calibri" w:cs="Calibri"/>
        </w:rPr>
        <w:t>Leads development of commercial strategy, including sponsorship, ticketing and hospitality</w:t>
      </w:r>
    </w:p>
    <w:p w14:paraId="058A1074" w14:textId="77777777" w:rsidR="00506564" w:rsidRPr="00506564" w:rsidRDefault="00506564" w:rsidP="00506564">
      <w:pPr>
        <w:pStyle w:val="ListParagraph"/>
        <w:numPr>
          <w:ilvl w:val="0"/>
          <w:numId w:val="1"/>
        </w:numPr>
        <w:ind w:left="426" w:hanging="426"/>
        <w:rPr>
          <w:rFonts w:ascii="Calibri" w:hAnsi="Calibri" w:cs="Calibri"/>
        </w:rPr>
      </w:pPr>
      <w:r w:rsidRPr="00506564">
        <w:rPr>
          <w:rFonts w:ascii="Calibri" w:hAnsi="Calibri" w:cs="Calibri"/>
        </w:rPr>
        <w:t>Secures marquee entertainment and supports broader event “</w:t>
      </w:r>
      <w:proofErr w:type="spellStart"/>
      <w:r w:rsidRPr="00506564">
        <w:rPr>
          <w:rFonts w:ascii="Calibri" w:hAnsi="Calibri" w:cs="Calibri"/>
        </w:rPr>
        <w:t>festivalisation</w:t>
      </w:r>
      <w:proofErr w:type="spellEnd"/>
      <w:r w:rsidRPr="00506564">
        <w:rPr>
          <w:rFonts w:ascii="Calibri" w:hAnsi="Calibri" w:cs="Calibri"/>
        </w:rPr>
        <w:t>”</w:t>
      </w:r>
    </w:p>
    <w:p w14:paraId="3ABAC81D" w14:textId="77777777" w:rsidR="00506564" w:rsidRPr="00506564" w:rsidRDefault="00506564" w:rsidP="00506564">
      <w:pPr>
        <w:pStyle w:val="ListParagraph"/>
        <w:numPr>
          <w:ilvl w:val="0"/>
          <w:numId w:val="1"/>
        </w:numPr>
        <w:ind w:left="426" w:hanging="426"/>
        <w:rPr>
          <w:rFonts w:ascii="Calibri" w:hAnsi="Calibri" w:cs="Calibri"/>
        </w:rPr>
      </w:pPr>
      <w:r w:rsidRPr="00506564">
        <w:rPr>
          <w:rFonts w:ascii="Calibri" w:hAnsi="Calibri" w:cs="Calibri"/>
        </w:rPr>
        <w:t>Establishes regulatory and approvals pathways, including alignment with the WA Major Events Act 2023</w:t>
      </w:r>
    </w:p>
    <w:p w14:paraId="6BDA4ECA" w14:textId="7DE7A53B" w:rsidR="00506564" w:rsidRPr="00506564" w:rsidRDefault="00506564" w:rsidP="00506564">
      <w:pPr>
        <w:pStyle w:val="ListParagraph"/>
        <w:numPr>
          <w:ilvl w:val="0"/>
          <w:numId w:val="1"/>
        </w:numPr>
        <w:ind w:left="426" w:hanging="426"/>
        <w:rPr>
          <w:rFonts w:ascii="Calibri" w:hAnsi="Calibri" w:cs="Calibri"/>
        </w:rPr>
      </w:pPr>
      <w:r w:rsidRPr="00506564">
        <w:rPr>
          <w:rFonts w:ascii="Calibri" w:hAnsi="Calibri" w:cs="Calibri"/>
        </w:rPr>
        <w:t>Coordinates key precinct interfaces, including Optus Stadium and Perth Park</w:t>
      </w:r>
    </w:p>
    <w:p w14:paraId="79267C81" w14:textId="270E54DC" w:rsidR="00180CF9" w:rsidRPr="00180CF9" w:rsidRDefault="00180CF9" w:rsidP="00180CF9">
      <w:pPr>
        <w:pStyle w:val="Heading4"/>
        <w:rPr>
          <w:rFonts w:ascii="Calibri" w:hAnsi="Calibri" w:cs="Calibri"/>
          <w:b/>
          <w:bCs/>
          <w:color w:val="12233B"/>
        </w:rPr>
      </w:pPr>
      <w:r w:rsidRPr="00180CF9">
        <w:rPr>
          <w:rFonts w:ascii="Calibri" w:hAnsi="Calibri" w:cs="Calibri"/>
          <w:b/>
          <w:bCs/>
          <w:color w:val="12233B"/>
        </w:rPr>
        <w:t>Operational Delivery Phase</w:t>
      </w:r>
    </w:p>
    <w:p w14:paraId="45467348" w14:textId="77777777" w:rsidR="00954F8D" w:rsidRDefault="00D363CE" w:rsidP="00954F8D">
      <w:pPr>
        <w:pStyle w:val="ListParagraph"/>
        <w:numPr>
          <w:ilvl w:val="0"/>
          <w:numId w:val="1"/>
        </w:numPr>
        <w:ind w:left="426" w:hanging="426"/>
        <w:rPr>
          <w:rFonts w:ascii="Calibri" w:hAnsi="Calibri" w:cs="Calibri"/>
        </w:rPr>
      </w:pPr>
      <w:r w:rsidRPr="00954F8D">
        <w:rPr>
          <w:rFonts w:ascii="Calibri" w:hAnsi="Calibri" w:cs="Calibri"/>
        </w:rPr>
        <w:t>L</w:t>
      </w:r>
      <w:r w:rsidRPr="00D363CE">
        <w:rPr>
          <w:rFonts w:ascii="Calibri" w:hAnsi="Calibri" w:cs="Calibri"/>
        </w:rPr>
        <w:t>eads end-to-end delivery of the Perth Supercars event</w:t>
      </w:r>
    </w:p>
    <w:p w14:paraId="41DC8B6A" w14:textId="77777777" w:rsidR="00954F8D" w:rsidRDefault="00D363CE" w:rsidP="00954F8D">
      <w:pPr>
        <w:pStyle w:val="ListParagraph"/>
        <w:numPr>
          <w:ilvl w:val="0"/>
          <w:numId w:val="1"/>
        </w:numPr>
        <w:ind w:left="426" w:hanging="426"/>
        <w:rPr>
          <w:rFonts w:ascii="Calibri" w:hAnsi="Calibri" w:cs="Calibri"/>
        </w:rPr>
      </w:pPr>
      <w:r w:rsidRPr="00D363CE">
        <w:rPr>
          <w:rFonts w:ascii="Calibri" w:hAnsi="Calibri" w:cs="Calibri"/>
        </w:rPr>
        <w:t>Oversees all operational workstreams including overlay, logistics, workforce, safety and event execution</w:t>
      </w:r>
    </w:p>
    <w:p w14:paraId="27D5FC3F" w14:textId="77777777" w:rsidR="00954F8D" w:rsidRDefault="00D363CE" w:rsidP="00954F8D">
      <w:pPr>
        <w:pStyle w:val="ListParagraph"/>
        <w:numPr>
          <w:ilvl w:val="0"/>
          <w:numId w:val="1"/>
        </w:numPr>
        <w:ind w:left="426" w:hanging="426"/>
        <w:rPr>
          <w:rFonts w:ascii="Calibri" w:hAnsi="Calibri" w:cs="Calibri"/>
        </w:rPr>
      </w:pPr>
      <w:r w:rsidRPr="00D363CE">
        <w:rPr>
          <w:rFonts w:ascii="Calibri" w:hAnsi="Calibri" w:cs="Calibri"/>
        </w:rPr>
        <w:t>Manages delivery partners and contractors to ensure high-quality outcomes</w:t>
      </w:r>
    </w:p>
    <w:p w14:paraId="5644611D" w14:textId="77777777" w:rsidR="00954F8D" w:rsidRDefault="00D363CE" w:rsidP="00954F8D">
      <w:pPr>
        <w:pStyle w:val="ListParagraph"/>
        <w:numPr>
          <w:ilvl w:val="0"/>
          <w:numId w:val="1"/>
        </w:numPr>
        <w:ind w:left="426" w:hanging="426"/>
        <w:rPr>
          <w:rFonts w:ascii="Calibri" w:hAnsi="Calibri" w:cs="Calibri"/>
        </w:rPr>
      </w:pPr>
      <w:r w:rsidRPr="00D363CE">
        <w:rPr>
          <w:rFonts w:ascii="Calibri" w:hAnsi="Calibri" w:cs="Calibri"/>
        </w:rPr>
        <w:t>Leads marketing, ticketing and fan experience delivery</w:t>
      </w:r>
    </w:p>
    <w:p w14:paraId="0A6CAC36" w14:textId="77777777" w:rsidR="00954F8D" w:rsidRDefault="00D363CE" w:rsidP="00954F8D">
      <w:pPr>
        <w:pStyle w:val="ListParagraph"/>
        <w:numPr>
          <w:ilvl w:val="0"/>
          <w:numId w:val="1"/>
        </w:numPr>
        <w:ind w:left="426" w:hanging="426"/>
        <w:rPr>
          <w:rFonts w:ascii="Calibri" w:hAnsi="Calibri" w:cs="Calibri"/>
        </w:rPr>
      </w:pPr>
      <w:r w:rsidRPr="00D363CE">
        <w:rPr>
          <w:rFonts w:ascii="Calibri" w:hAnsi="Calibri" w:cs="Calibri"/>
        </w:rPr>
        <w:lastRenderedPageBreak/>
        <w:t xml:space="preserve">Leads the </w:t>
      </w:r>
      <w:proofErr w:type="spellStart"/>
      <w:r w:rsidRPr="00D363CE">
        <w:rPr>
          <w:rFonts w:ascii="Calibri" w:hAnsi="Calibri" w:cs="Calibri"/>
        </w:rPr>
        <w:t>festivalisation</w:t>
      </w:r>
      <w:proofErr w:type="spellEnd"/>
      <w:r w:rsidRPr="00D363CE">
        <w:rPr>
          <w:rFonts w:ascii="Calibri" w:hAnsi="Calibri" w:cs="Calibri"/>
        </w:rPr>
        <w:t xml:space="preserve"> of the event, delivering a broader program of activity beyond the race weekend to drive community engagement and maximise precinct and whole-of-state activation</w:t>
      </w:r>
    </w:p>
    <w:p w14:paraId="5796E0CE" w14:textId="52CFD6B4" w:rsidR="00954F8D" w:rsidRPr="00954F8D" w:rsidRDefault="00D363CE" w:rsidP="00954F8D">
      <w:pPr>
        <w:pStyle w:val="ListParagraph"/>
        <w:numPr>
          <w:ilvl w:val="0"/>
          <w:numId w:val="1"/>
        </w:numPr>
        <w:ind w:left="426" w:hanging="426"/>
        <w:rPr>
          <w:rFonts w:ascii="Calibri" w:hAnsi="Calibri" w:cs="Calibri"/>
        </w:rPr>
      </w:pPr>
      <w:r w:rsidRPr="00D363CE">
        <w:rPr>
          <w:rFonts w:ascii="Calibri" w:hAnsi="Calibri" w:cs="Calibri"/>
        </w:rPr>
        <w:t>Ensures delivery within agreed financial parameters and performance targets</w:t>
      </w:r>
    </w:p>
    <w:p w14:paraId="13D06477" w14:textId="1EB9C3BD" w:rsidR="00180CF9" w:rsidRPr="00180CF9" w:rsidRDefault="00180CF9" w:rsidP="00180CF9">
      <w:pPr>
        <w:pStyle w:val="Heading4"/>
        <w:rPr>
          <w:rFonts w:ascii="Calibri" w:hAnsi="Calibri" w:cs="Calibri"/>
          <w:b/>
          <w:bCs/>
          <w:color w:val="12233B"/>
        </w:rPr>
      </w:pPr>
      <w:r w:rsidRPr="00180CF9">
        <w:rPr>
          <w:rFonts w:ascii="Calibri" w:hAnsi="Calibri" w:cs="Calibri"/>
          <w:b/>
          <w:bCs/>
          <w:color w:val="12233B"/>
        </w:rPr>
        <w:t>Ongoing Event Development</w:t>
      </w:r>
    </w:p>
    <w:p w14:paraId="3CAADB6F" w14:textId="77777777" w:rsidR="00180CF9" w:rsidRPr="00180CF9" w:rsidRDefault="00180CF9" w:rsidP="00180CF9">
      <w:pPr>
        <w:pStyle w:val="ListParagraph"/>
        <w:numPr>
          <w:ilvl w:val="0"/>
          <w:numId w:val="1"/>
        </w:numPr>
        <w:ind w:left="426" w:hanging="426"/>
        <w:rPr>
          <w:rFonts w:ascii="Calibri" w:hAnsi="Calibri" w:cs="Calibri"/>
        </w:rPr>
      </w:pPr>
      <w:r w:rsidRPr="00180CF9">
        <w:rPr>
          <w:rFonts w:ascii="Calibri" w:hAnsi="Calibri" w:cs="Calibri"/>
        </w:rPr>
        <w:t xml:space="preserve">Drives continuous improvement and evolution of the event </w:t>
      </w:r>
    </w:p>
    <w:p w14:paraId="01B0FFA1" w14:textId="77777777" w:rsidR="00180CF9" w:rsidRPr="00180CF9" w:rsidRDefault="00180CF9" w:rsidP="00180CF9">
      <w:pPr>
        <w:pStyle w:val="ListParagraph"/>
        <w:numPr>
          <w:ilvl w:val="0"/>
          <w:numId w:val="1"/>
        </w:numPr>
        <w:ind w:left="426" w:hanging="426"/>
        <w:rPr>
          <w:rFonts w:ascii="Calibri" w:hAnsi="Calibri" w:cs="Calibri"/>
        </w:rPr>
      </w:pPr>
      <w:r w:rsidRPr="00180CF9">
        <w:rPr>
          <w:rFonts w:ascii="Calibri" w:hAnsi="Calibri" w:cs="Calibri"/>
        </w:rPr>
        <w:t xml:space="preserve">Identifies and delivers opportunities to grow attendance, revenue and economic impact </w:t>
      </w:r>
    </w:p>
    <w:p w14:paraId="7E4B6FD8" w14:textId="77777777" w:rsidR="00180CF9" w:rsidRPr="00180CF9" w:rsidRDefault="00180CF9" w:rsidP="00180CF9">
      <w:pPr>
        <w:pStyle w:val="ListParagraph"/>
        <w:numPr>
          <w:ilvl w:val="0"/>
          <w:numId w:val="1"/>
        </w:numPr>
        <w:ind w:left="426" w:hanging="426"/>
        <w:rPr>
          <w:rFonts w:ascii="Calibri" w:hAnsi="Calibri" w:cs="Calibri"/>
        </w:rPr>
      </w:pPr>
      <w:r w:rsidRPr="00180CF9">
        <w:rPr>
          <w:rFonts w:ascii="Calibri" w:hAnsi="Calibri" w:cs="Calibri"/>
        </w:rPr>
        <w:t xml:space="preserve">Maintains strong relationships with stakeholders and partners to support long-term success </w:t>
      </w:r>
    </w:p>
    <w:p w14:paraId="61F83F31" w14:textId="178142F4" w:rsidR="00506A7A" w:rsidRPr="008729AA" w:rsidRDefault="00C905C4" w:rsidP="00A767C5">
      <w:pPr>
        <w:pStyle w:val="Heading4"/>
        <w:rPr>
          <w:rFonts w:ascii="Calibri" w:hAnsi="Calibri" w:cs="Calibri"/>
          <w:b/>
          <w:bCs/>
          <w:i w:val="0"/>
          <w:iCs w:val="0"/>
          <w:color w:val="12233B"/>
        </w:rPr>
      </w:pPr>
      <w:r>
        <w:rPr>
          <w:rFonts w:ascii="Calibri" w:hAnsi="Calibri" w:cs="Calibri"/>
          <w:b/>
          <w:bCs/>
          <w:i w:val="0"/>
          <w:iCs w:val="0"/>
          <w:color w:val="12233B"/>
        </w:rPr>
        <w:t>WORKPLACE SAFETY AND HEALTH</w:t>
      </w:r>
    </w:p>
    <w:p w14:paraId="4FDF3F98" w14:textId="28AB3997" w:rsidR="00506A7A" w:rsidRPr="00C905C4" w:rsidRDefault="00C905C4" w:rsidP="00C905C4">
      <w:pPr>
        <w:pStyle w:val="ListParagraph"/>
        <w:numPr>
          <w:ilvl w:val="0"/>
          <w:numId w:val="1"/>
        </w:numPr>
        <w:ind w:left="426" w:hanging="426"/>
        <w:rPr>
          <w:rFonts w:ascii="Calibri" w:hAnsi="Calibri" w:cs="Calibri"/>
        </w:rPr>
      </w:pPr>
      <w:r>
        <w:rPr>
          <w:rFonts w:ascii="Calibri" w:hAnsi="Calibri" w:cs="Calibri"/>
        </w:rPr>
        <w:t>Reads and understands all emergency plans and safety and health procedures, follows safe work instruction, undertakes emergency management and safety related training and assumes responsibilities as required or directed.</w:t>
      </w:r>
      <w:r w:rsidR="00506A7A" w:rsidRPr="00C905C4">
        <w:rPr>
          <w:rFonts w:ascii="Calibri" w:hAnsi="Calibri" w:cs="Calibri"/>
        </w:rPr>
        <w:t xml:space="preserve"> </w:t>
      </w:r>
    </w:p>
    <w:p w14:paraId="00712EDF" w14:textId="2D74F4B0" w:rsidR="000A3785" w:rsidRPr="0012093B" w:rsidRDefault="00E164FE" w:rsidP="0012093B">
      <w:pPr>
        <w:pStyle w:val="Heading4"/>
        <w:rPr>
          <w:rFonts w:ascii="Calibri" w:hAnsi="Calibri" w:cs="Calibri"/>
          <w:b/>
          <w:bCs/>
          <w:i w:val="0"/>
          <w:iCs w:val="0"/>
          <w:color w:val="12233B"/>
        </w:rPr>
      </w:pPr>
      <w:r w:rsidRPr="008729AA">
        <w:rPr>
          <w:rFonts w:ascii="Calibri" w:hAnsi="Calibri" w:cs="Calibri"/>
          <w:b/>
          <w:bCs/>
          <w:i w:val="0"/>
          <w:iCs w:val="0"/>
          <w:color w:val="12233B"/>
        </w:rPr>
        <w:t>OTHER</w:t>
      </w:r>
    </w:p>
    <w:p w14:paraId="1DA5E232" w14:textId="68A797A3" w:rsidR="00506A7A" w:rsidRDefault="00506A7A" w:rsidP="00E164FE">
      <w:pPr>
        <w:pStyle w:val="ListParagraph"/>
        <w:numPr>
          <w:ilvl w:val="0"/>
          <w:numId w:val="1"/>
        </w:numPr>
        <w:ind w:left="426" w:hanging="426"/>
        <w:rPr>
          <w:rFonts w:ascii="Calibri" w:hAnsi="Calibri" w:cs="Calibri"/>
        </w:rPr>
      </w:pPr>
      <w:r w:rsidRPr="00FC539A">
        <w:rPr>
          <w:rFonts w:ascii="Calibri" w:hAnsi="Calibri" w:cs="Calibri"/>
        </w:rPr>
        <w:t>Other related duties, as directed.</w:t>
      </w:r>
    </w:p>
    <w:p w14:paraId="51CA96DB" w14:textId="77777777" w:rsidR="00506A7A" w:rsidRPr="00E164FE" w:rsidRDefault="00E164FE" w:rsidP="00506A7A">
      <w:pPr>
        <w:pStyle w:val="Heading2"/>
        <w:rPr>
          <w:rFonts w:ascii="Calibri" w:hAnsi="Calibri" w:cs="Calibri"/>
          <w:b/>
          <w:bCs/>
          <w:color w:val="12233B"/>
          <w:sz w:val="24"/>
          <w:szCs w:val="24"/>
        </w:rPr>
      </w:pPr>
      <w:r w:rsidRPr="00E164FE">
        <w:rPr>
          <w:rFonts w:ascii="Calibri" w:hAnsi="Calibri" w:cs="Calibri"/>
          <w:b/>
          <w:bCs/>
          <w:color w:val="12233B"/>
          <w:sz w:val="24"/>
          <w:szCs w:val="24"/>
        </w:rPr>
        <w:t>ROLE REQUIREMENTS</w:t>
      </w:r>
    </w:p>
    <w:p w14:paraId="640A3456" w14:textId="77777777" w:rsidR="00506A7A" w:rsidRPr="00FC539A" w:rsidRDefault="00506A7A" w:rsidP="00506A7A">
      <w:pPr>
        <w:rPr>
          <w:rFonts w:ascii="Calibri" w:hAnsi="Calibri" w:cs="Calibri"/>
        </w:rPr>
      </w:pPr>
      <w:r w:rsidRPr="00FC539A">
        <w:rPr>
          <w:rFonts w:ascii="Calibri" w:hAnsi="Calibri" w:cs="Calibri"/>
        </w:rPr>
        <w:t xml:space="preserve">The following capabilities are to be addressed in </w:t>
      </w:r>
      <w:r w:rsidR="00566931" w:rsidRPr="00FC539A">
        <w:rPr>
          <w:rFonts w:ascii="Calibri" w:hAnsi="Calibri" w:cs="Calibri"/>
        </w:rPr>
        <w:t>context</w:t>
      </w:r>
      <w:r w:rsidRPr="00FC539A">
        <w:rPr>
          <w:rFonts w:ascii="Calibri" w:hAnsi="Calibri" w:cs="Calibri"/>
        </w:rPr>
        <w:t xml:space="preserve"> of the responsibilities of the role.</w:t>
      </w:r>
    </w:p>
    <w:p w14:paraId="27A1C000" w14:textId="77CF2466" w:rsidR="00506A7A" w:rsidRPr="00234623" w:rsidRDefault="00E56F59" w:rsidP="00234623">
      <w:pPr>
        <w:pStyle w:val="Heading4"/>
        <w:rPr>
          <w:rFonts w:ascii="Calibri" w:hAnsi="Calibri" w:cs="Calibri"/>
          <w:b/>
          <w:bCs/>
          <w:i w:val="0"/>
          <w:iCs w:val="0"/>
          <w:color w:val="12233B"/>
        </w:rPr>
      </w:pPr>
      <w:r w:rsidRPr="008729AA">
        <w:rPr>
          <w:rFonts w:ascii="Calibri" w:hAnsi="Calibri" w:cs="Calibri"/>
          <w:b/>
          <w:bCs/>
          <w:i w:val="0"/>
          <w:iCs w:val="0"/>
          <w:color w:val="12233B"/>
        </w:rPr>
        <w:t>ESSENTIAL</w:t>
      </w:r>
    </w:p>
    <w:p w14:paraId="21055AA6" w14:textId="77777777" w:rsidR="009B7C7D" w:rsidRDefault="00856CD6" w:rsidP="009B7C7D">
      <w:pPr>
        <w:pStyle w:val="ListParagraph"/>
        <w:numPr>
          <w:ilvl w:val="0"/>
          <w:numId w:val="21"/>
        </w:numPr>
        <w:rPr>
          <w:rFonts w:ascii="Calibri" w:hAnsi="Calibri" w:cs="Calibri"/>
        </w:rPr>
      </w:pPr>
      <w:r w:rsidRPr="006519A5">
        <w:rPr>
          <w:rFonts w:ascii="Calibri" w:hAnsi="Calibri" w:cs="Calibri"/>
        </w:rPr>
        <w:t>Extensive senior leadership experience delivering large-scale major events or complex programs, including:</w:t>
      </w:r>
    </w:p>
    <w:p w14:paraId="0289C1D4" w14:textId="77777777" w:rsidR="009B7C7D" w:rsidRDefault="00856CD6" w:rsidP="009B7C7D">
      <w:pPr>
        <w:pStyle w:val="ListParagraph"/>
        <w:numPr>
          <w:ilvl w:val="1"/>
          <w:numId w:val="21"/>
        </w:numPr>
        <w:rPr>
          <w:rFonts w:ascii="Calibri" w:hAnsi="Calibri" w:cs="Calibri"/>
        </w:rPr>
      </w:pPr>
      <w:r w:rsidRPr="009B7C7D">
        <w:rPr>
          <w:rFonts w:ascii="Calibri" w:hAnsi="Calibri" w:cs="Calibri"/>
        </w:rPr>
        <w:t>High-level commercial and negotiation capability</w:t>
      </w:r>
    </w:p>
    <w:p w14:paraId="2A0E6E96" w14:textId="77777777" w:rsidR="009B7C7D" w:rsidRDefault="00856CD6" w:rsidP="009B7C7D">
      <w:pPr>
        <w:pStyle w:val="ListParagraph"/>
        <w:numPr>
          <w:ilvl w:val="1"/>
          <w:numId w:val="21"/>
        </w:numPr>
        <w:rPr>
          <w:rFonts w:ascii="Calibri" w:hAnsi="Calibri" w:cs="Calibri"/>
        </w:rPr>
      </w:pPr>
      <w:r w:rsidRPr="009B7C7D">
        <w:rPr>
          <w:rFonts w:ascii="Calibri" w:hAnsi="Calibri" w:cs="Calibri"/>
        </w:rPr>
        <w:t>Strong contract and partner management experience</w:t>
      </w:r>
    </w:p>
    <w:p w14:paraId="3074D5FE" w14:textId="77777777" w:rsidR="009B7C7D" w:rsidRDefault="00856CD6" w:rsidP="009B7C7D">
      <w:pPr>
        <w:pStyle w:val="ListParagraph"/>
        <w:numPr>
          <w:ilvl w:val="1"/>
          <w:numId w:val="21"/>
        </w:numPr>
        <w:rPr>
          <w:rFonts w:ascii="Calibri" w:hAnsi="Calibri" w:cs="Calibri"/>
        </w:rPr>
      </w:pPr>
      <w:r w:rsidRPr="009B7C7D">
        <w:rPr>
          <w:rFonts w:ascii="Calibri" w:hAnsi="Calibri" w:cs="Calibri"/>
        </w:rPr>
        <w:t>Advanced financial acumen and experience managing large budgets</w:t>
      </w:r>
    </w:p>
    <w:p w14:paraId="02886F57" w14:textId="77777777" w:rsidR="009B7C7D" w:rsidRDefault="00856CD6" w:rsidP="009B7C7D">
      <w:pPr>
        <w:pStyle w:val="ListParagraph"/>
        <w:numPr>
          <w:ilvl w:val="1"/>
          <w:numId w:val="21"/>
        </w:numPr>
        <w:rPr>
          <w:rFonts w:ascii="Calibri" w:hAnsi="Calibri" w:cs="Calibri"/>
        </w:rPr>
      </w:pPr>
      <w:r w:rsidRPr="009B7C7D">
        <w:rPr>
          <w:rFonts w:ascii="Calibri" w:hAnsi="Calibri" w:cs="Calibri"/>
        </w:rPr>
        <w:t>Proven ability to deliver complex, multi-stakeholder projects</w:t>
      </w:r>
    </w:p>
    <w:p w14:paraId="7D1020BE" w14:textId="77777777" w:rsidR="00120BAC" w:rsidRDefault="00856CD6" w:rsidP="00120BAC">
      <w:pPr>
        <w:pStyle w:val="ListParagraph"/>
        <w:numPr>
          <w:ilvl w:val="1"/>
          <w:numId w:val="21"/>
        </w:numPr>
        <w:rPr>
          <w:rFonts w:ascii="Calibri" w:hAnsi="Calibri" w:cs="Calibri"/>
        </w:rPr>
      </w:pPr>
      <w:r w:rsidRPr="009B7C7D">
        <w:rPr>
          <w:rFonts w:ascii="Calibri" w:hAnsi="Calibri" w:cs="Calibri"/>
        </w:rPr>
        <w:t>Demonstrated experience in leading safety management for large-scale events, including development and oversight of safety frameworks, risk controls and compliance with relevant legislation</w:t>
      </w:r>
    </w:p>
    <w:p w14:paraId="5C4F353A" w14:textId="77777777" w:rsidR="00120BAC" w:rsidRDefault="00856CD6" w:rsidP="00120BAC">
      <w:pPr>
        <w:pStyle w:val="ListParagraph"/>
        <w:numPr>
          <w:ilvl w:val="1"/>
          <w:numId w:val="21"/>
        </w:numPr>
        <w:rPr>
          <w:rFonts w:ascii="Calibri" w:hAnsi="Calibri" w:cs="Calibri"/>
        </w:rPr>
      </w:pPr>
      <w:r w:rsidRPr="00120BAC">
        <w:rPr>
          <w:rFonts w:ascii="Calibri" w:hAnsi="Calibri" w:cs="Calibri"/>
        </w:rPr>
        <w:t>Demonstrated ability to lead establishment-phase programs, including building teams, structures and delivery frameworks</w:t>
      </w:r>
    </w:p>
    <w:p w14:paraId="379D46CD" w14:textId="77777777" w:rsidR="00EB4CA1" w:rsidRPr="005B07F1" w:rsidRDefault="00EB4CA1" w:rsidP="009B7C7D">
      <w:pPr>
        <w:pStyle w:val="ListParagraph"/>
        <w:numPr>
          <w:ilvl w:val="0"/>
          <w:numId w:val="21"/>
        </w:numPr>
        <w:rPr>
          <w:rFonts w:ascii="Calibri" w:hAnsi="Calibri" w:cs="Calibri"/>
        </w:rPr>
      </w:pPr>
      <w:r w:rsidRPr="005B07F1">
        <w:rPr>
          <w:rFonts w:ascii="Calibri" w:hAnsi="Calibri" w:cs="Calibri"/>
        </w:rPr>
        <w:t>Inspires a sense of purpose and direction and focusses strategically by establishing goals that link the organisational goals and the business unit’s goals; Harnesses information; Considers opportunities and risks and identifies innovative solutions.</w:t>
      </w:r>
    </w:p>
    <w:p w14:paraId="27B1E650" w14:textId="77777777" w:rsidR="00EB4CA1" w:rsidRPr="005B07F1" w:rsidRDefault="00EB4CA1" w:rsidP="009B7C7D">
      <w:pPr>
        <w:pStyle w:val="ListParagraph"/>
        <w:numPr>
          <w:ilvl w:val="0"/>
          <w:numId w:val="21"/>
        </w:numPr>
        <w:rPr>
          <w:rFonts w:ascii="Calibri" w:hAnsi="Calibri" w:cs="Calibri"/>
        </w:rPr>
      </w:pPr>
      <w:r w:rsidRPr="005B07F1">
        <w:rPr>
          <w:rFonts w:ascii="Calibri" w:hAnsi="Calibri" w:cs="Calibri"/>
        </w:rPr>
        <w:t>Achieves results by building effective teams and creating a flexible environment that enables people to meet changing demands; Implements continuous improvement activities; Adopts a planned approach to the management of work and projects; Drives a culture of achievement by ensuring ideas become actions that result in expected outputs.</w:t>
      </w:r>
    </w:p>
    <w:p w14:paraId="6EDD5B9C" w14:textId="77777777" w:rsidR="00EB4CA1" w:rsidRPr="005B07F1" w:rsidRDefault="00EB4CA1" w:rsidP="009B7C7D">
      <w:pPr>
        <w:pStyle w:val="ListParagraph"/>
        <w:numPr>
          <w:ilvl w:val="0"/>
          <w:numId w:val="21"/>
        </w:numPr>
        <w:rPr>
          <w:rFonts w:ascii="Calibri" w:hAnsi="Calibri" w:cs="Calibri"/>
        </w:rPr>
      </w:pPr>
      <w:r w:rsidRPr="005B07F1">
        <w:rPr>
          <w:rFonts w:ascii="Calibri" w:hAnsi="Calibri" w:cs="Calibri"/>
        </w:rPr>
        <w:t>Builds and sustains productive relationships with a diverse range of internal and external stakeholders; Facilitates cooperation and partnerships and resolves conflicts effectively; Drives a culture which uses diversity to foster innovation and embraces high quality customer service.</w:t>
      </w:r>
    </w:p>
    <w:p w14:paraId="3D1053A0" w14:textId="77777777" w:rsidR="00EB4CA1" w:rsidRPr="005B07F1" w:rsidRDefault="00EB4CA1" w:rsidP="009B7C7D">
      <w:pPr>
        <w:pStyle w:val="ListParagraph"/>
        <w:numPr>
          <w:ilvl w:val="0"/>
          <w:numId w:val="21"/>
        </w:numPr>
        <w:rPr>
          <w:rFonts w:ascii="Calibri" w:hAnsi="Calibri" w:cs="Calibri"/>
        </w:rPr>
      </w:pPr>
      <w:r w:rsidRPr="005B07F1">
        <w:rPr>
          <w:rFonts w:ascii="Calibri" w:hAnsi="Calibri" w:cs="Calibri"/>
        </w:rPr>
        <w:t>Exemplifies personal integrity by adhering to and promoting the VenuesWest Way and Code of Conduct; Provides impartial and forthright advice, making tough corporate decisions and standing by them; Commits to actions and displays resilience in achieving them; Demonstrates self-awareness and commits to personal development.</w:t>
      </w:r>
    </w:p>
    <w:p w14:paraId="366506F4" w14:textId="77777777" w:rsidR="00EB4CA1" w:rsidRPr="005B07F1" w:rsidRDefault="00EB4CA1" w:rsidP="009B7C7D">
      <w:pPr>
        <w:pStyle w:val="ListParagraph"/>
        <w:numPr>
          <w:ilvl w:val="0"/>
          <w:numId w:val="21"/>
        </w:numPr>
        <w:rPr>
          <w:rFonts w:ascii="Calibri" w:hAnsi="Calibri" w:cs="Calibri"/>
        </w:rPr>
      </w:pPr>
      <w:r w:rsidRPr="005B07F1">
        <w:rPr>
          <w:rFonts w:ascii="Calibri" w:hAnsi="Calibri" w:cs="Calibri"/>
        </w:rPr>
        <w:t>Communicates confidently, clearly and accurately both orally and in writing; Listens to, understands and adapts their style to their audience; Negotiates persuasively, addresses disagreements and ensures negotiations remain on track.</w:t>
      </w:r>
    </w:p>
    <w:p w14:paraId="5980A741" w14:textId="35A86710" w:rsidR="00EB4CA1" w:rsidRPr="00120BAC" w:rsidRDefault="00EB4CA1" w:rsidP="00120BAC">
      <w:pPr>
        <w:pStyle w:val="ListParagraph"/>
        <w:numPr>
          <w:ilvl w:val="0"/>
          <w:numId w:val="21"/>
        </w:numPr>
        <w:rPr>
          <w:rFonts w:ascii="Calibri" w:hAnsi="Calibri" w:cs="Calibri"/>
        </w:rPr>
      </w:pPr>
      <w:r w:rsidRPr="005B07F1">
        <w:rPr>
          <w:rFonts w:ascii="Calibri" w:hAnsi="Calibri" w:cs="Calibri"/>
        </w:rPr>
        <w:t>Engages and motivates employees and develops their capability and potential; models and encourages a culture of continuous learning and leadership; engages in strategic workforce planning and strategic resource utilisation to meet organisational goals; and supports, promotes and champions change, leading employees through change processes to build support and commitment.</w:t>
      </w:r>
    </w:p>
    <w:p w14:paraId="0A9F11F6" w14:textId="06713CAC" w:rsidR="00A767C5" w:rsidRDefault="002215C1" w:rsidP="001A0881">
      <w:pPr>
        <w:pStyle w:val="Heading4"/>
        <w:rPr>
          <w:rFonts w:ascii="Calibri" w:hAnsi="Calibri" w:cs="Calibri"/>
          <w:b/>
          <w:bCs/>
        </w:rPr>
      </w:pPr>
      <w:r w:rsidRPr="008729AA">
        <w:rPr>
          <w:rFonts w:ascii="Calibri" w:hAnsi="Calibri" w:cs="Calibri"/>
          <w:b/>
          <w:bCs/>
          <w:i w:val="0"/>
          <w:iCs w:val="0"/>
          <w:color w:val="12233B"/>
        </w:rPr>
        <w:lastRenderedPageBreak/>
        <w:t>DESIRABLE</w:t>
      </w:r>
      <w:r w:rsidR="00506A7A" w:rsidRPr="008729AA">
        <w:rPr>
          <w:rFonts w:ascii="Calibri" w:hAnsi="Calibri" w:cs="Calibri"/>
          <w:b/>
          <w:bCs/>
        </w:rPr>
        <w:t xml:space="preserve"> </w:t>
      </w:r>
    </w:p>
    <w:p w14:paraId="1409FF75" w14:textId="3966174C" w:rsidR="002C611E" w:rsidRPr="002C611E" w:rsidRDefault="002C611E" w:rsidP="002C611E">
      <w:pPr>
        <w:pStyle w:val="ListParagraph"/>
        <w:numPr>
          <w:ilvl w:val="0"/>
          <w:numId w:val="1"/>
        </w:numPr>
        <w:ind w:left="426" w:hanging="426"/>
        <w:rPr>
          <w:rFonts w:ascii="Calibri" w:hAnsi="Calibri" w:cs="Calibri"/>
        </w:rPr>
      </w:pPr>
      <w:r w:rsidRPr="002C611E">
        <w:rPr>
          <w:rFonts w:ascii="Calibri" w:hAnsi="Calibri" w:cs="Calibri"/>
        </w:rPr>
        <w:t xml:space="preserve">Experience delivering major motorsport or international sporting events </w:t>
      </w:r>
    </w:p>
    <w:p w14:paraId="5E99EC04" w14:textId="692A5CDE" w:rsidR="002C611E" w:rsidRPr="002C611E" w:rsidRDefault="002C611E" w:rsidP="002C611E">
      <w:pPr>
        <w:pStyle w:val="ListParagraph"/>
        <w:numPr>
          <w:ilvl w:val="0"/>
          <w:numId w:val="1"/>
        </w:numPr>
        <w:ind w:left="426" w:hanging="426"/>
        <w:rPr>
          <w:rFonts w:ascii="Calibri" w:hAnsi="Calibri" w:cs="Calibri"/>
        </w:rPr>
      </w:pPr>
      <w:r w:rsidRPr="002C611E">
        <w:rPr>
          <w:rFonts w:ascii="Calibri" w:hAnsi="Calibri" w:cs="Calibri"/>
        </w:rPr>
        <w:t xml:space="preserve">Experience working with rights holders such as Supercars Championship or similar </w:t>
      </w:r>
    </w:p>
    <w:p w14:paraId="52003E5A" w14:textId="0E924E7F" w:rsidR="002C611E" w:rsidRPr="002C611E" w:rsidRDefault="002C611E" w:rsidP="002C611E">
      <w:pPr>
        <w:pStyle w:val="ListParagraph"/>
        <w:numPr>
          <w:ilvl w:val="0"/>
          <w:numId w:val="1"/>
        </w:numPr>
        <w:ind w:left="426" w:hanging="426"/>
        <w:rPr>
          <w:rFonts w:ascii="Calibri" w:hAnsi="Calibri" w:cs="Calibri"/>
        </w:rPr>
      </w:pPr>
      <w:r w:rsidRPr="002C611E">
        <w:rPr>
          <w:rFonts w:ascii="Calibri" w:hAnsi="Calibri" w:cs="Calibri"/>
        </w:rPr>
        <w:t xml:space="preserve">Experience in government or highly regulated environments </w:t>
      </w:r>
    </w:p>
    <w:p w14:paraId="0AFCF29D" w14:textId="00041372" w:rsidR="00180CF9" w:rsidRPr="002C611E" w:rsidRDefault="002C611E" w:rsidP="002C611E">
      <w:pPr>
        <w:pStyle w:val="ListParagraph"/>
        <w:numPr>
          <w:ilvl w:val="0"/>
          <w:numId w:val="1"/>
        </w:numPr>
        <w:ind w:left="426" w:hanging="426"/>
        <w:rPr>
          <w:rFonts w:ascii="Calibri" w:hAnsi="Calibri" w:cs="Calibri"/>
        </w:rPr>
      </w:pPr>
      <w:r w:rsidRPr="002C611E">
        <w:rPr>
          <w:rFonts w:ascii="Calibri" w:hAnsi="Calibri" w:cs="Calibri"/>
        </w:rPr>
        <w:t>Experience delivering large-scale temporary overlay and precinct-based events</w:t>
      </w:r>
    </w:p>
    <w:p w14:paraId="1950CC5B" w14:textId="6C90D309" w:rsidR="00506A7A" w:rsidRPr="002215C1" w:rsidRDefault="002215C1" w:rsidP="00566931">
      <w:pPr>
        <w:pStyle w:val="Heading2"/>
        <w:rPr>
          <w:rFonts w:ascii="Calibri" w:hAnsi="Calibri" w:cs="Calibri"/>
          <w:b/>
          <w:bCs/>
          <w:color w:val="12233B"/>
          <w:sz w:val="24"/>
          <w:szCs w:val="24"/>
        </w:rPr>
      </w:pPr>
      <w:r w:rsidRPr="002215C1">
        <w:rPr>
          <w:rFonts w:ascii="Calibri" w:hAnsi="Calibri" w:cs="Calibri"/>
          <w:b/>
          <w:bCs/>
          <w:color w:val="12233B"/>
          <w:sz w:val="24"/>
          <w:szCs w:val="24"/>
        </w:rPr>
        <w:t>POSITION CONDITIONS AND ELIGIBILITY</w:t>
      </w:r>
    </w:p>
    <w:p w14:paraId="4BBC7ADA" w14:textId="77777777" w:rsidR="00506A7A" w:rsidRPr="00FC539A" w:rsidRDefault="00506A7A" w:rsidP="00506A7A">
      <w:pPr>
        <w:rPr>
          <w:rFonts w:ascii="Calibri" w:hAnsi="Calibri" w:cs="Calibri"/>
        </w:rPr>
      </w:pPr>
      <w:r w:rsidRPr="00FC539A">
        <w:rPr>
          <w:rFonts w:ascii="Calibri" w:hAnsi="Calibri" w:cs="Calibri"/>
        </w:rPr>
        <w:t>Appointment to this posi</w:t>
      </w:r>
      <w:r w:rsidR="00566931" w:rsidRPr="00FC539A">
        <w:rPr>
          <w:rFonts w:ascii="Calibri" w:hAnsi="Calibri" w:cs="Calibri"/>
        </w:rPr>
        <w:t>tion is conditional upon:</w:t>
      </w:r>
    </w:p>
    <w:p w14:paraId="18C1D517" w14:textId="77777777" w:rsidR="00566931" w:rsidRPr="00FC539A" w:rsidRDefault="00566931" w:rsidP="00E80AF4">
      <w:pPr>
        <w:pStyle w:val="ListParagraph"/>
        <w:numPr>
          <w:ilvl w:val="0"/>
          <w:numId w:val="1"/>
        </w:numPr>
        <w:ind w:left="426" w:hanging="426"/>
        <w:rPr>
          <w:rFonts w:ascii="Calibri" w:hAnsi="Calibri" w:cs="Calibri"/>
        </w:rPr>
      </w:pPr>
      <w:r w:rsidRPr="00FC539A">
        <w:rPr>
          <w:rFonts w:ascii="Calibri" w:hAnsi="Calibri" w:cs="Calibri"/>
        </w:rPr>
        <w:t xml:space="preserve">Providing evidence of ‘Right to Work’ in Australia </w:t>
      </w:r>
    </w:p>
    <w:p w14:paraId="3975D8C5" w14:textId="10FD3029" w:rsidR="001C5546" w:rsidRPr="002D4154" w:rsidRDefault="00566931" w:rsidP="002D4154">
      <w:pPr>
        <w:pStyle w:val="ListParagraph"/>
        <w:numPr>
          <w:ilvl w:val="0"/>
          <w:numId w:val="1"/>
        </w:numPr>
        <w:ind w:left="426" w:hanging="426"/>
        <w:rPr>
          <w:rFonts w:ascii="Calibri" w:hAnsi="Calibri" w:cs="Calibri"/>
        </w:rPr>
      </w:pPr>
      <w:r w:rsidRPr="00FC539A">
        <w:rPr>
          <w:rFonts w:ascii="Calibri" w:hAnsi="Calibri" w:cs="Calibri"/>
        </w:rPr>
        <w:t xml:space="preserve">Providing evidence of a National Police Clearance (dated within </w:t>
      </w:r>
      <w:r w:rsidR="00844905">
        <w:rPr>
          <w:rFonts w:ascii="Calibri" w:hAnsi="Calibri" w:cs="Calibri"/>
        </w:rPr>
        <w:t>12</w:t>
      </w:r>
      <w:r w:rsidRPr="00FC539A">
        <w:rPr>
          <w:rFonts w:ascii="Calibri" w:hAnsi="Calibri" w:cs="Calibri"/>
        </w:rPr>
        <w:t xml:space="preserve"> months)</w:t>
      </w:r>
    </w:p>
    <w:p w14:paraId="3D47A774" w14:textId="2378A808" w:rsidR="00A2175A" w:rsidRDefault="00A2175A">
      <w:pPr>
        <w:rPr>
          <w:rFonts w:ascii="Calibri" w:hAnsi="Calibri" w:cs="Calibri"/>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938"/>
      </w:tblGrid>
      <w:tr w:rsidR="006D3D4E" w14:paraId="7800C6A1" w14:textId="77777777" w:rsidTr="003E569B">
        <w:trPr>
          <w:trHeight w:val="833"/>
        </w:trPr>
        <w:tc>
          <w:tcPr>
            <w:tcW w:w="2547" w:type="dxa"/>
            <w:tcBorders>
              <w:top w:val="nil"/>
              <w:left w:val="nil"/>
              <w:bottom w:val="single" w:sz="4" w:space="0" w:color="FFFFFF" w:themeColor="background1"/>
              <w:right w:val="nil"/>
            </w:tcBorders>
            <w:shd w:val="clear" w:color="auto" w:fill="12233B"/>
            <w:vAlign w:val="center"/>
          </w:tcPr>
          <w:p w14:paraId="67B9DA74" w14:textId="40B9AE7A" w:rsidR="003016CD" w:rsidRDefault="0082481A" w:rsidP="003E569B">
            <w:pPr>
              <w:rPr>
                <w:rFonts w:ascii="Calibri" w:hAnsi="Calibri" w:cs="Calibri"/>
                <w:b/>
                <w:bCs/>
              </w:rPr>
            </w:pPr>
            <w:r>
              <w:rPr>
                <w:rFonts w:ascii="Calibri" w:hAnsi="Calibri" w:cs="Calibri"/>
                <w:b/>
                <w:bCs/>
              </w:rPr>
              <w:t>Janis Carren</w:t>
            </w:r>
          </w:p>
          <w:p w14:paraId="12F622E6" w14:textId="547D5885" w:rsidR="006D3D4E" w:rsidRPr="00E84D00" w:rsidRDefault="006D3D4E" w:rsidP="003E569B">
            <w:pPr>
              <w:rPr>
                <w:rFonts w:ascii="Calibri" w:hAnsi="Calibri" w:cs="Calibri"/>
                <w:b/>
                <w:bCs/>
              </w:rPr>
            </w:pPr>
            <w:r>
              <w:rPr>
                <w:rFonts w:ascii="Calibri" w:hAnsi="Calibri" w:cs="Calibri"/>
                <w:b/>
                <w:bCs/>
              </w:rPr>
              <w:t>CHIEF EXECUTIVE OFFICER</w:t>
            </w:r>
          </w:p>
        </w:tc>
        <w:tc>
          <w:tcPr>
            <w:tcW w:w="7938" w:type="dxa"/>
            <w:tcBorders>
              <w:top w:val="nil"/>
              <w:left w:val="nil"/>
              <w:bottom w:val="single" w:sz="4" w:space="0" w:color="FFFFFF" w:themeColor="background1"/>
              <w:right w:val="nil"/>
            </w:tcBorders>
            <w:shd w:val="clear" w:color="auto" w:fill="EEEFF2"/>
            <w:vAlign w:val="center"/>
          </w:tcPr>
          <w:p w14:paraId="07A5A03C" w14:textId="710CAC3E" w:rsidR="006D3D4E" w:rsidRPr="00E84D00" w:rsidRDefault="00C74ADF" w:rsidP="003E569B">
            <w:pPr>
              <w:rPr>
                <w:b/>
                <w:bCs/>
                <w:highlight w:val="yellow"/>
              </w:rPr>
            </w:pPr>
            <w:r w:rsidRPr="00BD75D5">
              <w:rPr>
                <w:rFonts w:ascii="Rockwell" w:hAnsi="Rockwell"/>
                <w:noProof/>
                <w:color w:val="404040" w:themeColor="text1" w:themeTint="BF"/>
              </w:rPr>
              <w:drawing>
                <wp:inline distT="0" distB="0" distL="0" distR="0" wp14:anchorId="0E38BF29" wp14:editId="320A4C75">
                  <wp:extent cx="913517" cy="436608"/>
                  <wp:effectExtent l="19050" t="0" r="883" b="0"/>
                  <wp:docPr id="9" name="Picture 9" descr="Janis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is Signature.bmp"/>
                          <pic:cNvPicPr/>
                        </pic:nvPicPr>
                        <pic:blipFill>
                          <a:blip r:embed="rId8" cstate="print"/>
                          <a:stretch>
                            <a:fillRect/>
                          </a:stretch>
                        </pic:blipFill>
                        <pic:spPr>
                          <a:xfrm>
                            <a:off x="0" y="0"/>
                            <a:ext cx="914918" cy="437277"/>
                          </a:xfrm>
                          <a:prstGeom prst="rect">
                            <a:avLst/>
                          </a:prstGeom>
                        </pic:spPr>
                      </pic:pic>
                    </a:graphicData>
                  </a:graphic>
                </wp:inline>
              </w:drawing>
            </w:r>
          </w:p>
        </w:tc>
      </w:tr>
      <w:tr w:rsidR="006D3D4E" w14:paraId="420D852D" w14:textId="77777777" w:rsidTr="003E569B">
        <w:trPr>
          <w:trHeight w:val="833"/>
        </w:trPr>
        <w:tc>
          <w:tcPr>
            <w:tcW w:w="2547" w:type="dxa"/>
            <w:tcBorders>
              <w:top w:val="single" w:sz="4" w:space="0" w:color="FFFFFF" w:themeColor="background1"/>
              <w:left w:val="nil"/>
              <w:bottom w:val="nil"/>
              <w:right w:val="nil"/>
            </w:tcBorders>
            <w:shd w:val="clear" w:color="auto" w:fill="12233B"/>
            <w:vAlign w:val="center"/>
          </w:tcPr>
          <w:p w14:paraId="50D10E77" w14:textId="77777777" w:rsidR="006D3D4E" w:rsidRPr="00E84D00" w:rsidRDefault="006D3D4E" w:rsidP="003E569B">
            <w:pPr>
              <w:rPr>
                <w:b/>
                <w:bCs/>
              </w:rPr>
            </w:pPr>
            <w:r w:rsidRPr="00C61FE9">
              <w:rPr>
                <w:rFonts w:ascii="Calibri" w:hAnsi="Calibri" w:cs="Calibri"/>
                <w:b/>
                <w:bCs/>
                <w:color w:val="FFFFFF" w:themeColor="background1"/>
              </w:rPr>
              <w:t>Date JDF Appr</w:t>
            </w:r>
            <w:r w:rsidRPr="00C61FE9">
              <w:rPr>
                <w:rFonts w:ascii="Calibri" w:hAnsi="Calibri" w:cs="Calibri"/>
                <w:b/>
                <w:bCs/>
                <w:color w:val="FFFFFF" w:themeColor="background1"/>
                <w:shd w:val="clear" w:color="auto" w:fill="12233B"/>
              </w:rPr>
              <w:t>o</w:t>
            </w:r>
            <w:r w:rsidRPr="00C61FE9">
              <w:rPr>
                <w:rFonts w:ascii="Calibri" w:hAnsi="Calibri" w:cs="Calibri"/>
                <w:b/>
                <w:bCs/>
                <w:color w:val="FFFFFF" w:themeColor="background1"/>
              </w:rPr>
              <w:t>ved</w:t>
            </w:r>
          </w:p>
        </w:tc>
        <w:sdt>
          <w:sdtPr>
            <w:id w:val="2137295297"/>
            <w:placeholder>
              <w:docPart w:val="A32212895A5E4BF3A9FD5F8D1EB5FDA7"/>
            </w:placeholder>
            <w:date w:fullDate="2026-05-15T00:00:00Z">
              <w:dateFormat w:val="d MMMM yyyy"/>
              <w:lid w:val="en-AU"/>
              <w:storeMappedDataAs w:val="dateTime"/>
              <w:calendar w:val="gregorian"/>
            </w:date>
          </w:sdtPr>
          <w:sdtEndPr/>
          <w:sdtContent>
            <w:tc>
              <w:tcPr>
                <w:tcW w:w="7938" w:type="dxa"/>
                <w:tcBorders>
                  <w:top w:val="single" w:sz="4" w:space="0" w:color="FFFFFF" w:themeColor="background1"/>
                  <w:left w:val="nil"/>
                  <w:bottom w:val="nil"/>
                  <w:right w:val="nil"/>
                </w:tcBorders>
                <w:shd w:val="clear" w:color="auto" w:fill="EEEFF2"/>
                <w:vAlign w:val="center"/>
              </w:tcPr>
              <w:p w14:paraId="7F24CE5B" w14:textId="1A3BC68B" w:rsidR="006D3D4E" w:rsidRDefault="00C74ADF" w:rsidP="003E569B">
                <w:r>
                  <w:t>15 May 2026</w:t>
                </w:r>
              </w:p>
            </w:tc>
          </w:sdtContent>
        </w:sdt>
      </w:tr>
    </w:tbl>
    <w:p w14:paraId="413FDD2F" w14:textId="77777777" w:rsidR="006D3D4E" w:rsidRDefault="006D3D4E">
      <w:pPr>
        <w:rPr>
          <w:rFonts w:ascii="Calibri" w:hAnsi="Calibri" w:cs="Calibri"/>
        </w:rPr>
      </w:pPr>
    </w:p>
    <w:sectPr w:rsidR="006D3D4E" w:rsidSect="00B815AA">
      <w:headerReference w:type="even" r:id="rId9"/>
      <w:headerReference w:type="default" r:id="rId10"/>
      <w:footerReference w:type="default" r:id="rId11"/>
      <w:headerReference w:type="first" r:id="rId12"/>
      <w:pgSz w:w="11906" w:h="16838"/>
      <w:pgMar w:top="567" w:right="680" w:bottom="851" w:left="68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F3274" w14:textId="77777777" w:rsidR="00CD6486" w:rsidRDefault="00CD6486" w:rsidP="00AB1F84">
      <w:pPr>
        <w:spacing w:after="0" w:line="240" w:lineRule="auto"/>
      </w:pPr>
      <w:r>
        <w:separator/>
      </w:r>
    </w:p>
  </w:endnote>
  <w:endnote w:type="continuationSeparator" w:id="0">
    <w:p w14:paraId="477F3BAD" w14:textId="77777777" w:rsidR="00CD6486" w:rsidRDefault="00CD6486" w:rsidP="00AB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7847"/>
    </w:tblGrid>
    <w:tr w:rsidR="008729AA" w14:paraId="68FF2401" w14:textId="77777777" w:rsidTr="00B815AA">
      <w:tc>
        <w:tcPr>
          <w:tcW w:w="2831" w:type="dxa"/>
          <w:vAlign w:val="center"/>
        </w:tcPr>
        <w:p w14:paraId="1111F1B8" w14:textId="3DD8E9C7" w:rsidR="008729AA" w:rsidRDefault="008729AA" w:rsidP="008729AA">
          <w:pPr>
            <w:pStyle w:val="Footer"/>
          </w:pPr>
        </w:p>
      </w:tc>
      <w:tc>
        <w:tcPr>
          <w:tcW w:w="7847" w:type="dxa"/>
        </w:tcPr>
        <w:p w14:paraId="7872D916" w14:textId="52C07F1A" w:rsidR="008729AA" w:rsidRPr="008729AA" w:rsidRDefault="008729AA" w:rsidP="008729AA">
          <w:pPr>
            <w:pStyle w:val="VWBody"/>
            <w:spacing w:line="276" w:lineRule="auto"/>
            <w:rPr>
              <w:i/>
              <w:iCs/>
              <w:sz w:val="18"/>
              <w:szCs w:val="18"/>
            </w:rPr>
          </w:pPr>
        </w:p>
      </w:tc>
    </w:tr>
  </w:tbl>
  <w:p w14:paraId="30CB6309" w14:textId="77777777" w:rsidR="008729AA" w:rsidRDefault="0087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C230" w14:textId="77777777" w:rsidR="00CD6486" w:rsidRDefault="00CD6486" w:rsidP="00AB1F84">
      <w:pPr>
        <w:spacing w:after="0" w:line="240" w:lineRule="auto"/>
      </w:pPr>
      <w:r>
        <w:separator/>
      </w:r>
    </w:p>
  </w:footnote>
  <w:footnote w:type="continuationSeparator" w:id="0">
    <w:p w14:paraId="3041039F" w14:textId="77777777" w:rsidR="00CD6486" w:rsidRDefault="00CD6486" w:rsidP="00AB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A2CD" w14:textId="38F4C7F4" w:rsidR="00493072" w:rsidRDefault="00493072">
    <w:pPr>
      <w:pStyle w:val="Header"/>
    </w:pPr>
    <w:r>
      <w:rPr>
        <w:noProof/>
      </w:rPr>
      <mc:AlternateContent>
        <mc:Choice Requires="wps">
          <w:drawing>
            <wp:anchor distT="0" distB="0" distL="0" distR="0" simplePos="0" relativeHeight="251659264" behindDoc="0" locked="0" layoutInCell="1" allowOverlap="1" wp14:anchorId="21A79B55" wp14:editId="1F5BDB62">
              <wp:simplePos x="635" y="635"/>
              <wp:positionH relativeFrom="page">
                <wp:align>center</wp:align>
              </wp:positionH>
              <wp:positionV relativeFrom="page">
                <wp:align>top</wp:align>
              </wp:positionV>
              <wp:extent cx="518795" cy="357505"/>
              <wp:effectExtent l="0" t="0" r="14605" b="4445"/>
              <wp:wrapNone/>
              <wp:docPr id="10661414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D93883C" w14:textId="7FDE5955" w:rsidR="00493072" w:rsidRPr="00493072" w:rsidRDefault="00493072" w:rsidP="00493072">
                          <w:pPr>
                            <w:spacing w:after="0"/>
                            <w:rPr>
                              <w:rFonts w:ascii="Aptos" w:eastAsia="Aptos" w:hAnsi="Aptos" w:cs="Aptos"/>
                              <w:noProof/>
                              <w:color w:val="FF0000"/>
                              <w:sz w:val="20"/>
                              <w:szCs w:val="20"/>
                            </w:rPr>
                          </w:pPr>
                          <w:r w:rsidRPr="00493072">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A79B55"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5D93883C" w14:textId="7FDE5955" w:rsidR="00493072" w:rsidRPr="00493072" w:rsidRDefault="00493072" w:rsidP="00493072">
                    <w:pPr>
                      <w:spacing w:after="0"/>
                      <w:rPr>
                        <w:rFonts w:ascii="Aptos" w:eastAsia="Aptos" w:hAnsi="Aptos" w:cs="Aptos"/>
                        <w:noProof/>
                        <w:color w:val="FF0000"/>
                        <w:sz w:val="20"/>
                        <w:szCs w:val="20"/>
                      </w:rPr>
                    </w:pPr>
                    <w:r w:rsidRPr="00493072">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B0AF" w14:textId="5E0646F2" w:rsidR="00493072" w:rsidRDefault="00493072">
    <w:pPr>
      <w:pStyle w:val="Header"/>
    </w:pPr>
    <w:r>
      <w:rPr>
        <w:noProof/>
      </w:rPr>
      <mc:AlternateContent>
        <mc:Choice Requires="wps">
          <w:drawing>
            <wp:anchor distT="0" distB="0" distL="0" distR="0" simplePos="0" relativeHeight="251660288" behindDoc="0" locked="0" layoutInCell="1" allowOverlap="1" wp14:anchorId="31DCAAA0" wp14:editId="02A45BDC">
              <wp:simplePos x="433415" y="449272"/>
              <wp:positionH relativeFrom="page">
                <wp:align>center</wp:align>
              </wp:positionH>
              <wp:positionV relativeFrom="page">
                <wp:align>top</wp:align>
              </wp:positionV>
              <wp:extent cx="518795" cy="357505"/>
              <wp:effectExtent l="0" t="0" r="14605" b="4445"/>
              <wp:wrapNone/>
              <wp:docPr id="543703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278ED1FC" w14:textId="2D1A8A2A" w:rsidR="00493072" w:rsidRPr="00493072" w:rsidRDefault="00493072" w:rsidP="00493072">
                          <w:pPr>
                            <w:spacing w:after="0"/>
                            <w:rPr>
                              <w:rFonts w:ascii="Aptos" w:eastAsia="Aptos" w:hAnsi="Aptos" w:cs="Aptos"/>
                              <w:noProof/>
                              <w:color w:val="FF0000"/>
                              <w:sz w:val="20"/>
                              <w:szCs w:val="20"/>
                            </w:rPr>
                          </w:pPr>
                          <w:r w:rsidRPr="00493072">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DCAAA0"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278ED1FC" w14:textId="2D1A8A2A" w:rsidR="00493072" w:rsidRPr="00493072" w:rsidRDefault="00493072" w:rsidP="00493072">
                    <w:pPr>
                      <w:spacing w:after="0"/>
                      <w:rPr>
                        <w:rFonts w:ascii="Aptos" w:eastAsia="Aptos" w:hAnsi="Aptos" w:cs="Aptos"/>
                        <w:noProof/>
                        <w:color w:val="FF0000"/>
                        <w:sz w:val="20"/>
                        <w:szCs w:val="20"/>
                      </w:rPr>
                    </w:pPr>
                    <w:r w:rsidRPr="00493072">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300"/>
      <w:tblW w:w="11415" w:type="dxa"/>
      <w:tblCellMar>
        <w:top w:w="340" w:type="dxa"/>
        <w:left w:w="340" w:type="dxa"/>
        <w:bottom w:w="340" w:type="dxa"/>
      </w:tblCellMar>
      <w:tblLook w:val="04A0" w:firstRow="1" w:lastRow="0" w:firstColumn="1" w:lastColumn="0" w:noHBand="0" w:noVBand="1"/>
    </w:tblPr>
    <w:tblGrid>
      <w:gridCol w:w="9498"/>
      <w:gridCol w:w="1917"/>
    </w:tblGrid>
    <w:tr w:rsidR="00C56FE7" w:rsidRPr="006B015B" w14:paraId="4684E6C3" w14:textId="77777777">
      <w:trPr>
        <w:trHeight w:val="1084"/>
      </w:trPr>
      <w:tc>
        <w:tcPr>
          <w:tcW w:w="9498" w:type="dxa"/>
          <w:shd w:val="clear" w:color="auto" w:fill="00293A"/>
          <w:vAlign w:val="center"/>
        </w:tcPr>
        <w:p w14:paraId="41B46FC9" w14:textId="77777777" w:rsidR="00444714" w:rsidRDefault="00493072" w:rsidP="00C56FE7">
          <w:pPr>
            <w:pStyle w:val="VWTitle"/>
            <w:framePr w:hSpace="0" w:wrap="auto" w:vAnchor="margin" w:hAnchor="text" w:xAlign="left" w:yAlign="inline"/>
            <w:rPr>
              <w:rFonts w:ascii="Calibri" w:hAnsi="Calibri" w:cs="Calibri"/>
            </w:rPr>
          </w:pPr>
          <w:r>
            <w:rPr>
              <w:rFonts w:ascii="Calibri" w:hAnsi="Calibri" w:cs="Calibri"/>
              <w:b w:val="0"/>
              <w:bCs w:val="0"/>
              <w:caps w:val="0"/>
            </w:rPr>
            <mc:AlternateContent>
              <mc:Choice Requires="wps">
                <w:drawing>
                  <wp:anchor distT="0" distB="0" distL="0" distR="0" simplePos="0" relativeHeight="251658240" behindDoc="0" locked="0" layoutInCell="1" allowOverlap="1" wp14:anchorId="3452EDD1" wp14:editId="7E1F37EA">
                    <wp:simplePos x="369988" y="406987"/>
                    <wp:positionH relativeFrom="page">
                      <wp:align>center</wp:align>
                    </wp:positionH>
                    <wp:positionV relativeFrom="page">
                      <wp:align>top</wp:align>
                    </wp:positionV>
                    <wp:extent cx="518795" cy="357505"/>
                    <wp:effectExtent l="0" t="0" r="14605" b="4445"/>
                    <wp:wrapNone/>
                    <wp:docPr id="3780118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A727342" w14:textId="33BC59BC" w:rsidR="00493072" w:rsidRPr="00493072" w:rsidRDefault="00493072" w:rsidP="00493072">
                                <w:pPr>
                                  <w:spacing w:after="0"/>
                                  <w:rPr>
                                    <w:rFonts w:ascii="Aptos" w:eastAsia="Aptos" w:hAnsi="Aptos" w:cs="Aptos"/>
                                    <w:noProof/>
                                    <w:color w:val="FF0000"/>
                                    <w:sz w:val="20"/>
                                    <w:szCs w:val="20"/>
                                  </w:rPr>
                                </w:pPr>
                                <w:r w:rsidRPr="00493072">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52EDD1"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textbox style="mso-fit-shape-to-text:t" inset="0,15pt,0,0">
                      <w:txbxContent>
                        <w:p w14:paraId="1A727342" w14:textId="33BC59BC" w:rsidR="00493072" w:rsidRPr="00493072" w:rsidRDefault="00493072" w:rsidP="00493072">
                          <w:pPr>
                            <w:spacing w:after="0"/>
                            <w:rPr>
                              <w:rFonts w:ascii="Aptos" w:eastAsia="Aptos" w:hAnsi="Aptos" w:cs="Aptos"/>
                              <w:noProof/>
                              <w:color w:val="FF0000"/>
                              <w:sz w:val="20"/>
                              <w:szCs w:val="20"/>
                            </w:rPr>
                          </w:pPr>
                          <w:r w:rsidRPr="00493072">
                            <w:rPr>
                              <w:rFonts w:ascii="Aptos" w:eastAsia="Aptos" w:hAnsi="Aptos" w:cs="Aptos"/>
                              <w:noProof/>
                              <w:color w:val="FF0000"/>
                              <w:sz w:val="20"/>
                              <w:szCs w:val="20"/>
                            </w:rPr>
                            <w:t>OFFICIAL</w:t>
                          </w:r>
                        </w:p>
                      </w:txbxContent>
                    </v:textbox>
                    <w10:wrap anchorx="page" anchory="page"/>
                  </v:shape>
                </w:pict>
              </mc:Fallback>
            </mc:AlternateContent>
          </w:r>
          <w:r w:rsidR="008C476E">
            <w:rPr>
              <w:rFonts w:ascii="Calibri" w:hAnsi="Calibri" w:cs="Calibri"/>
            </w:rPr>
            <w:t xml:space="preserve">general manager – </w:t>
          </w:r>
          <w:r w:rsidR="00444714">
            <w:rPr>
              <w:rFonts w:ascii="Calibri" w:hAnsi="Calibri" w:cs="Calibri"/>
            </w:rPr>
            <w:t>PERTH PARK MOTORSPORTS</w:t>
          </w:r>
        </w:p>
        <w:p w14:paraId="60D3B1B5" w14:textId="5C54F128" w:rsidR="00C56FE7" w:rsidRPr="006B015B" w:rsidRDefault="00C56FE7" w:rsidP="00C56FE7">
          <w:pPr>
            <w:pStyle w:val="VWTitle"/>
            <w:framePr w:hSpace="0" w:wrap="auto" w:vAnchor="margin" w:hAnchor="text" w:xAlign="left" w:yAlign="inline"/>
            <w:rPr>
              <w:rFonts w:asciiTheme="minorHAnsi" w:hAnsiTheme="minorHAnsi" w:cstheme="minorHAnsi"/>
            </w:rPr>
          </w:pPr>
          <w:r w:rsidRPr="00C56FE7">
            <w:rPr>
              <w:rFonts w:ascii="Calibri" w:hAnsi="Calibri" w:cs="Calibri"/>
              <w:sz w:val="32"/>
              <w:szCs w:val="32"/>
            </w:rPr>
            <w:t>(POSITION #</w:t>
          </w:r>
          <w:r w:rsidR="00635B69">
            <w:rPr>
              <w:rFonts w:ascii="Calibri" w:hAnsi="Calibri" w:cs="Calibri"/>
              <w:sz w:val="32"/>
              <w:szCs w:val="32"/>
            </w:rPr>
            <w:t>TBD</w:t>
          </w:r>
          <w:r w:rsidRPr="00C56FE7">
            <w:rPr>
              <w:rFonts w:ascii="Calibri" w:hAnsi="Calibri" w:cs="Calibri"/>
              <w:sz w:val="32"/>
              <w:szCs w:val="32"/>
            </w:rPr>
            <w:t>)</w:t>
          </w:r>
        </w:p>
      </w:tc>
      <w:tc>
        <w:tcPr>
          <w:tcW w:w="1917" w:type="dxa"/>
          <w:shd w:val="clear" w:color="auto" w:fill="00293A"/>
        </w:tcPr>
        <w:p w14:paraId="345546AB" w14:textId="77777777" w:rsidR="00C56FE7" w:rsidRPr="006B015B" w:rsidRDefault="00C56FE7" w:rsidP="00C56FE7">
          <w:pPr>
            <w:pStyle w:val="VWBody"/>
          </w:pPr>
          <w:r w:rsidRPr="006B015B">
            <w:rPr>
              <w:noProof/>
            </w:rPr>
            <w:drawing>
              <wp:anchor distT="0" distB="0" distL="114300" distR="114300" simplePos="0" relativeHeight="251657216" behindDoc="0" locked="0" layoutInCell="1" allowOverlap="1" wp14:anchorId="47D59722" wp14:editId="6813DD00">
                <wp:simplePos x="0" y="0"/>
                <wp:positionH relativeFrom="column">
                  <wp:posOffset>-26035</wp:posOffset>
                </wp:positionH>
                <wp:positionV relativeFrom="paragraph">
                  <wp:posOffset>54610</wp:posOffset>
                </wp:positionV>
                <wp:extent cx="841375" cy="601980"/>
                <wp:effectExtent l="0" t="0" r="0" b="0"/>
                <wp:wrapNone/>
                <wp:docPr id="1316395357" name="Picture 131639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21808" name=""/>
                        <pic:cNvPicPr/>
                      </pic:nvPicPr>
                      <pic:blipFill rotWithShape="1">
                        <a:blip r:embed="rId1"/>
                        <a:srcRect l="-4047" t="-6442" r="-4457" b="-6893"/>
                        <a:stretch/>
                      </pic:blipFill>
                      <pic:spPr bwMode="auto">
                        <a:xfrm>
                          <a:off x="0" y="0"/>
                          <a:ext cx="841375" cy="601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3959C1B" w14:textId="6C5D998B" w:rsidR="00C56FE7" w:rsidRDefault="00C56FE7" w:rsidP="00C56FE7">
    <w:pPr>
      <w:pStyle w:val="Header"/>
      <w:tabs>
        <w:tab w:val="clear" w:pos="4513"/>
        <w:tab w:val="clear" w:pos="9026"/>
        <w:tab w:val="left" w:pos="2085"/>
      </w:tabs>
    </w:pPr>
    <w:r>
      <w:tab/>
    </w:r>
  </w:p>
  <w:p w14:paraId="4D92ACC5" w14:textId="77777777" w:rsidR="00C56FE7" w:rsidRDefault="00C56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13B"/>
    <w:multiLevelType w:val="hybridMultilevel"/>
    <w:tmpl w:val="4740BD06"/>
    <w:lvl w:ilvl="0" w:tplc="98D4625C">
      <w:start w:val="1"/>
      <w:numFmt w:val="decimal"/>
      <w:lvlText w:val="%1."/>
      <w:lvlJc w:val="left"/>
      <w:pPr>
        <w:ind w:left="720" w:hanging="72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9E498A"/>
    <w:multiLevelType w:val="hybridMultilevel"/>
    <w:tmpl w:val="EB026918"/>
    <w:lvl w:ilvl="0" w:tplc="40A6734C">
      <w:start w:val="1"/>
      <w:numFmt w:val="bullet"/>
      <w:lvlText w:val=""/>
      <w:lvlJc w:val="left"/>
      <w:pPr>
        <w:ind w:left="360" w:hanging="360"/>
      </w:pPr>
      <w:rPr>
        <w:rFonts w:ascii="Symbol" w:hAnsi="Symbol" w:hint="default"/>
        <w:color w:val="404040" w:themeColor="text1" w:themeTint="BF"/>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1CC6504"/>
    <w:multiLevelType w:val="hybridMultilevel"/>
    <w:tmpl w:val="3FFC2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1F6EF1"/>
    <w:multiLevelType w:val="hybridMultilevel"/>
    <w:tmpl w:val="A6220D9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23678F"/>
    <w:multiLevelType w:val="hybridMultilevel"/>
    <w:tmpl w:val="9B00D69E"/>
    <w:lvl w:ilvl="0" w:tplc="3530C964">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5" w15:restartNumberingAfterBreak="0">
    <w:nsid w:val="22514170"/>
    <w:multiLevelType w:val="multilevel"/>
    <w:tmpl w:val="56C6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D6199"/>
    <w:multiLevelType w:val="multilevel"/>
    <w:tmpl w:val="D30A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258D8"/>
    <w:multiLevelType w:val="hybridMultilevel"/>
    <w:tmpl w:val="17EAC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5338F8"/>
    <w:multiLevelType w:val="hybridMultilevel"/>
    <w:tmpl w:val="17EAC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9B36B9"/>
    <w:multiLevelType w:val="hybridMultilevel"/>
    <w:tmpl w:val="48C2BDD0"/>
    <w:lvl w:ilvl="0" w:tplc="0C09000F">
      <w:start w:val="1"/>
      <w:numFmt w:val="decimal"/>
      <w:lvlText w:val="%1."/>
      <w:lvlJc w:val="left"/>
      <w:pPr>
        <w:ind w:left="644" w:hanging="360"/>
      </w:p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439A2C78"/>
    <w:multiLevelType w:val="multilevel"/>
    <w:tmpl w:val="424C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E75CD"/>
    <w:multiLevelType w:val="hybridMultilevel"/>
    <w:tmpl w:val="5052BC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091D2C"/>
    <w:multiLevelType w:val="hybridMultilevel"/>
    <w:tmpl w:val="17EAC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7F3A9E"/>
    <w:multiLevelType w:val="hybridMultilevel"/>
    <w:tmpl w:val="17EAC0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0C3AE0"/>
    <w:multiLevelType w:val="multilevel"/>
    <w:tmpl w:val="B2C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005E7"/>
    <w:multiLevelType w:val="hybridMultilevel"/>
    <w:tmpl w:val="8D0EBCA6"/>
    <w:lvl w:ilvl="0" w:tplc="0C09000F">
      <w:start w:val="1"/>
      <w:numFmt w:val="decimal"/>
      <w:lvlText w:val="%1."/>
      <w:lvlJc w:val="left"/>
      <w:pPr>
        <w:ind w:left="6" w:hanging="360"/>
      </w:pPr>
      <w:rPr>
        <w:rFonts w:hint="default"/>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6" w15:restartNumberingAfterBreak="0">
    <w:nsid w:val="5DA97672"/>
    <w:multiLevelType w:val="multilevel"/>
    <w:tmpl w:val="AB88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C0634"/>
    <w:multiLevelType w:val="multilevel"/>
    <w:tmpl w:val="3D0E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C5CCA"/>
    <w:multiLevelType w:val="multilevel"/>
    <w:tmpl w:val="FC86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DD4F95"/>
    <w:multiLevelType w:val="hybridMultilevel"/>
    <w:tmpl w:val="51EAE3E0"/>
    <w:lvl w:ilvl="0" w:tplc="FFFFFFFF">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3F715A"/>
    <w:multiLevelType w:val="hybridMultilevel"/>
    <w:tmpl w:val="B27CF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8438872">
    <w:abstractNumId w:val="11"/>
  </w:num>
  <w:num w:numId="2" w16cid:durableId="1518232748">
    <w:abstractNumId w:val="13"/>
  </w:num>
  <w:num w:numId="3" w16cid:durableId="1115708214">
    <w:abstractNumId w:val="20"/>
  </w:num>
  <w:num w:numId="4" w16cid:durableId="30808088">
    <w:abstractNumId w:val="2"/>
  </w:num>
  <w:num w:numId="5" w16cid:durableId="1184899733">
    <w:abstractNumId w:val="12"/>
  </w:num>
  <w:num w:numId="6" w16cid:durableId="1382443749">
    <w:abstractNumId w:val="4"/>
  </w:num>
  <w:num w:numId="7" w16cid:durableId="2001037836">
    <w:abstractNumId w:val="1"/>
  </w:num>
  <w:num w:numId="8" w16cid:durableId="665016542">
    <w:abstractNumId w:val="15"/>
  </w:num>
  <w:num w:numId="9" w16cid:durableId="328602458">
    <w:abstractNumId w:val="9"/>
  </w:num>
  <w:num w:numId="10" w16cid:durableId="761994694">
    <w:abstractNumId w:val="7"/>
  </w:num>
  <w:num w:numId="11" w16cid:durableId="2067297848">
    <w:abstractNumId w:val="3"/>
  </w:num>
  <w:num w:numId="12" w16cid:durableId="824514202">
    <w:abstractNumId w:val="8"/>
  </w:num>
  <w:num w:numId="13" w16cid:durableId="1121725155">
    <w:abstractNumId w:val="10"/>
  </w:num>
  <w:num w:numId="14" w16cid:durableId="1011449212">
    <w:abstractNumId w:val="18"/>
  </w:num>
  <w:num w:numId="15" w16cid:durableId="1508247987">
    <w:abstractNumId w:val="16"/>
  </w:num>
  <w:num w:numId="16" w16cid:durableId="1235579504">
    <w:abstractNumId w:val="14"/>
  </w:num>
  <w:num w:numId="17" w16cid:durableId="116265284">
    <w:abstractNumId w:val="17"/>
  </w:num>
  <w:num w:numId="18" w16cid:durableId="244847070">
    <w:abstractNumId w:val="6"/>
  </w:num>
  <w:num w:numId="19" w16cid:durableId="739329362">
    <w:abstractNumId w:val="5"/>
  </w:num>
  <w:num w:numId="20" w16cid:durableId="978072917">
    <w:abstractNumId w:val="19"/>
  </w:num>
  <w:num w:numId="21" w16cid:durableId="79189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5C"/>
    <w:rsid w:val="00041476"/>
    <w:rsid w:val="00075293"/>
    <w:rsid w:val="000A3785"/>
    <w:rsid w:val="000C085D"/>
    <w:rsid w:val="0012093B"/>
    <w:rsid w:val="00120BAC"/>
    <w:rsid w:val="001217C8"/>
    <w:rsid w:val="00125871"/>
    <w:rsid w:val="00136997"/>
    <w:rsid w:val="0015369A"/>
    <w:rsid w:val="00175D3F"/>
    <w:rsid w:val="00180CF9"/>
    <w:rsid w:val="001A0881"/>
    <w:rsid w:val="001B204A"/>
    <w:rsid w:val="001B765C"/>
    <w:rsid w:val="001C3EF6"/>
    <w:rsid w:val="001C5546"/>
    <w:rsid w:val="001D1214"/>
    <w:rsid w:val="001D23AC"/>
    <w:rsid w:val="001E0F42"/>
    <w:rsid w:val="001F3681"/>
    <w:rsid w:val="001F3A85"/>
    <w:rsid w:val="002215C1"/>
    <w:rsid w:val="0022246D"/>
    <w:rsid w:val="00224474"/>
    <w:rsid w:val="00234623"/>
    <w:rsid w:val="00240CDB"/>
    <w:rsid w:val="002932E8"/>
    <w:rsid w:val="002B1119"/>
    <w:rsid w:val="002B5AAE"/>
    <w:rsid w:val="002C611E"/>
    <w:rsid w:val="002D4154"/>
    <w:rsid w:val="002D5CB9"/>
    <w:rsid w:val="002E0542"/>
    <w:rsid w:val="002F079B"/>
    <w:rsid w:val="002F5D35"/>
    <w:rsid w:val="003016CD"/>
    <w:rsid w:val="003173EE"/>
    <w:rsid w:val="003223D3"/>
    <w:rsid w:val="0033446B"/>
    <w:rsid w:val="0034662E"/>
    <w:rsid w:val="00354C4C"/>
    <w:rsid w:val="00374E00"/>
    <w:rsid w:val="0037762A"/>
    <w:rsid w:val="003871BF"/>
    <w:rsid w:val="00391FBF"/>
    <w:rsid w:val="003B0521"/>
    <w:rsid w:val="003C2497"/>
    <w:rsid w:val="003F3EE0"/>
    <w:rsid w:val="00401768"/>
    <w:rsid w:val="004021ED"/>
    <w:rsid w:val="00406D40"/>
    <w:rsid w:val="004253D3"/>
    <w:rsid w:val="0044132F"/>
    <w:rsid w:val="0044291E"/>
    <w:rsid w:val="00444714"/>
    <w:rsid w:val="00454CAE"/>
    <w:rsid w:val="004725CC"/>
    <w:rsid w:val="00493072"/>
    <w:rsid w:val="004B5BE3"/>
    <w:rsid w:val="004C0AA4"/>
    <w:rsid w:val="004C78AD"/>
    <w:rsid w:val="004D40E9"/>
    <w:rsid w:val="004D48E2"/>
    <w:rsid w:val="00504991"/>
    <w:rsid w:val="00506564"/>
    <w:rsid w:val="00506A7A"/>
    <w:rsid w:val="0051565C"/>
    <w:rsid w:val="00522FF7"/>
    <w:rsid w:val="005333E3"/>
    <w:rsid w:val="0053608D"/>
    <w:rsid w:val="00541A9F"/>
    <w:rsid w:val="0054583C"/>
    <w:rsid w:val="00547DEA"/>
    <w:rsid w:val="00566931"/>
    <w:rsid w:val="005733D0"/>
    <w:rsid w:val="00573829"/>
    <w:rsid w:val="00576B48"/>
    <w:rsid w:val="00576D66"/>
    <w:rsid w:val="00580F03"/>
    <w:rsid w:val="00587647"/>
    <w:rsid w:val="00590713"/>
    <w:rsid w:val="005A0C9F"/>
    <w:rsid w:val="005A3481"/>
    <w:rsid w:val="005B6BBD"/>
    <w:rsid w:val="005D7942"/>
    <w:rsid w:val="005E3B92"/>
    <w:rsid w:val="00617B29"/>
    <w:rsid w:val="00623C0F"/>
    <w:rsid w:val="00635B69"/>
    <w:rsid w:val="006519A5"/>
    <w:rsid w:val="00677959"/>
    <w:rsid w:val="00685DDE"/>
    <w:rsid w:val="00692905"/>
    <w:rsid w:val="00692FD8"/>
    <w:rsid w:val="006944E2"/>
    <w:rsid w:val="006A4908"/>
    <w:rsid w:val="006B2EDA"/>
    <w:rsid w:val="006D3D4E"/>
    <w:rsid w:val="006D5402"/>
    <w:rsid w:val="007025FF"/>
    <w:rsid w:val="00736F16"/>
    <w:rsid w:val="0074538B"/>
    <w:rsid w:val="007533E3"/>
    <w:rsid w:val="0075736F"/>
    <w:rsid w:val="007614B7"/>
    <w:rsid w:val="00775F89"/>
    <w:rsid w:val="00793B17"/>
    <w:rsid w:val="007B6201"/>
    <w:rsid w:val="007C6CBF"/>
    <w:rsid w:val="007C717D"/>
    <w:rsid w:val="007D122B"/>
    <w:rsid w:val="007D1628"/>
    <w:rsid w:val="00813219"/>
    <w:rsid w:val="0082481A"/>
    <w:rsid w:val="00832025"/>
    <w:rsid w:val="00842D48"/>
    <w:rsid w:val="00844905"/>
    <w:rsid w:val="00856CD6"/>
    <w:rsid w:val="00871AF2"/>
    <w:rsid w:val="00871DDE"/>
    <w:rsid w:val="008729AA"/>
    <w:rsid w:val="00876892"/>
    <w:rsid w:val="008A6C39"/>
    <w:rsid w:val="008A6FDA"/>
    <w:rsid w:val="008C476E"/>
    <w:rsid w:val="008D40F3"/>
    <w:rsid w:val="00925824"/>
    <w:rsid w:val="00954F8D"/>
    <w:rsid w:val="009809D2"/>
    <w:rsid w:val="009A007C"/>
    <w:rsid w:val="009A126C"/>
    <w:rsid w:val="009A23BF"/>
    <w:rsid w:val="009B173B"/>
    <w:rsid w:val="009B1E60"/>
    <w:rsid w:val="009B7C7D"/>
    <w:rsid w:val="009C0BDE"/>
    <w:rsid w:val="009C4ABC"/>
    <w:rsid w:val="009F1F3B"/>
    <w:rsid w:val="00A12B2F"/>
    <w:rsid w:val="00A2175A"/>
    <w:rsid w:val="00A44E3A"/>
    <w:rsid w:val="00A642D4"/>
    <w:rsid w:val="00A73B30"/>
    <w:rsid w:val="00A767C5"/>
    <w:rsid w:val="00A94898"/>
    <w:rsid w:val="00AB0B44"/>
    <w:rsid w:val="00AB1F84"/>
    <w:rsid w:val="00AB3E0E"/>
    <w:rsid w:val="00AE1B9F"/>
    <w:rsid w:val="00AE464D"/>
    <w:rsid w:val="00B068BA"/>
    <w:rsid w:val="00B27183"/>
    <w:rsid w:val="00B3352F"/>
    <w:rsid w:val="00B33BA2"/>
    <w:rsid w:val="00B460EF"/>
    <w:rsid w:val="00B762AC"/>
    <w:rsid w:val="00B815AA"/>
    <w:rsid w:val="00B84AB5"/>
    <w:rsid w:val="00B85AF5"/>
    <w:rsid w:val="00BA0F82"/>
    <w:rsid w:val="00BA1849"/>
    <w:rsid w:val="00BA5910"/>
    <w:rsid w:val="00BB184F"/>
    <w:rsid w:val="00BB2A6D"/>
    <w:rsid w:val="00BC470A"/>
    <w:rsid w:val="00BC53BA"/>
    <w:rsid w:val="00BD68E0"/>
    <w:rsid w:val="00BE61AB"/>
    <w:rsid w:val="00BE690F"/>
    <w:rsid w:val="00BF1C40"/>
    <w:rsid w:val="00BF2296"/>
    <w:rsid w:val="00BF4073"/>
    <w:rsid w:val="00C17C60"/>
    <w:rsid w:val="00C31947"/>
    <w:rsid w:val="00C37D57"/>
    <w:rsid w:val="00C415F2"/>
    <w:rsid w:val="00C56FE7"/>
    <w:rsid w:val="00C60E2B"/>
    <w:rsid w:val="00C61FE9"/>
    <w:rsid w:val="00C74ADF"/>
    <w:rsid w:val="00C76111"/>
    <w:rsid w:val="00C837C5"/>
    <w:rsid w:val="00C905C4"/>
    <w:rsid w:val="00CC70A2"/>
    <w:rsid w:val="00CD3C33"/>
    <w:rsid w:val="00CD5DD0"/>
    <w:rsid w:val="00CD6432"/>
    <w:rsid w:val="00CD6486"/>
    <w:rsid w:val="00CF4714"/>
    <w:rsid w:val="00D1348E"/>
    <w:rsid w:val="00D26EF1"/>
    <w:rsid w:val="00D27F39"/>
    <w:rsid w:val="00D35EB4"/>
    <w:rsid w:val="00D363CE"/>
    <w:rsid w:val="00D62C35"/>
    <w:rsid w:val="00D64A22"/>
    <w:rsid w:val="00D83EAA"/>
    <w:rsid w:val="00D919F0"/>
    <w:rsid w:val="00E00209"/>
    <w:rsid w:val="00E07147"/>
    <w:rsid w:val="00E11BC3"/>
    <w:rsid w:val="00E164FE"/>
    <w:rsid w:val="00E16E6D"/>
    <w:rsid w:val="00E211F2"/>
    <w:rsid w:val="00E33205"/>
    <w:rsid w:val="00E438A7"/>
    <w:rsid w:val="00E44FC3"/>
    <w:rsid w:val="00E555F0"/>
    <w:rsid w:val="00E56F59"/>
    <w:rsid w:val="00E73C06"/>
    <w:rsid w:val="00E74BE7"/>
    <w:rsid w:val="00E80A30"/>
    <w:rsid w:val="00E80AF4"/>
    <w:rsid w:val="00E834CE"/>
    <w:rsid w:val="00E945DB"/>
    <w:rsid w:val="00E96E69"/>
    <w:rsid w:val="00EA09BA"/>
    <w:rsid w:val="00EB4CA1"/>
    <w:rsid w:val="00EC0030"/>
    <w:rsid w:val="00EC3AE4"/>
    <w:rsid w:val="00ED0460"/>
    <w:rsid w:val="00EE25A8"/>
    <w:rsid w:val="00EF6C67"/>
    <w:rsid w:val="00F04924"/>
    <w:rsid w:val="00F05BCD"/>
    <w:rsid w:val="00F15055"/>
    <w:rsid w:val="00F17CF9"/>
    <w:rsid w:val="00F330BE"/>
    <w:rsid w:val="00F3606B"/>
    <w:rsid w:val="00F40148"/>
    <w:rsid w:val="00F41562"/>
    <w:rsid w:val="00F46E0A"/>
    <w:rsid w:val="00F46E3A"/>
    <w:rsid w:val="00F47BD2"/>
    <w:rsid w:val="00F659BC"/>
    <w:rsid w:val="00F83463"/>
    <w:rsid w:val="00F95804"/>
    <w:rsid w:val="00FA1669"/>
    <w:rsid w:val="00FC539A"/>
    <w:rsid w:val="00FC781E"/>
    <w:rsid w:val="00FD1093"/>
    <w:rsid w:val="00FD1141"/>
    <w:rsid w:val="00FE3A3C"/>
    <w:rsid w:val="00FF3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61C47"/>
  <w15:chartTrackingRefBased/>
  <w15:docId w15:val="{9778779A-1ECA-4A33-91C8-EE3AD26A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6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6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6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6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6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6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A7A"/>
    <w:rPr>
      <w:rFonts w:eastAsiaTheme="majorEastAsia" w:cstheme="majorBidi"/>
      <w:color w:val="272727" w:themeColor="text1" w:themeTint="D8"/>
    </w:rPr>
  </w:style>
  <w:style w:type="paragraph" w:styleId="Title">
    <w:name w:val="Title"/>
    <w:basedOn w:val="Normal"/>
    <w:next w:val="Normal"/>
    <w:link w:val="TitleChar"/>
    <w:uiPriority w:val="10"/>
    <w:qFormat/>
    <w:rsid w:val="00506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A7A"/>
    <w:pPr>
      <w:spacing w:before="160"/>
      <w:jc w:val="center"/>
    </w:pPr>
    <w:rPr>
      <w:i/>
      <w:iCs/>
      <w:color w:val="404040" w:themeColor="text1" w:themeTint="BF"/>
    </w:rPr>
  </w:style>
  <w:style w:type="character" w:customStyle="1" w:styleId="QuoteChar">
    <w:name w:val="Quote Char"/>
    <w:basedOn w:val="DefaultParagraphFont"/>
    <w:link w:val="Quote"/>
    <w:uiPriority w:val="29"/>
    <w:rsid w:val="00506A7A"/>
    <w:rPr>
      <w:i/>
      <w:iCs/>
      <w:color w:val="404040" w:themeColor="text1" w:themeTint="BF"/>
    </w:rPr>
  </w:style>
  <w:style w:type="paragraph" w:styleId="ListParagraph">
    <w:name w:val="List Paragraph"/>
    <w:basedOn w:val="Normal"/>
    <w:uiPriority w:val="99"/>
    <w:qFormat/>
    <w:rsid w:val="00506A7A"/>
    <w:pPr>
      <w:ind w:left="720"/>
      <w:contextualSpacing/>
    </w:pPr>
  </w:style>
  <w:style w:type="character" w:styleId="IntenseEmphasis">
    <w:name w:val="Intense Emphasis"/>
    <w:basedOn w:val="DefaultParagraphFont"/>
    <w:uiPriority w:val="21"/>
    <w:qFormat/>
    <w:rsid w:val="00506A7A"/>
    <w:rPr>
      <w:i/>
      <w:iCs/>
      <w:color w:val="0F4761" w:themeColor="accent1" w:themeShade="BF"/>
    </w:rPr>
  </w:style>
  <w:style w:type="paragraph" w:styleId="IntenseQuote">
    <w:name w:val="Intense Quote"/>
    <w:basedOn w:val="Normal"/>
    <w:next w:val="Normal"/>
    <w:link w:val="IntenseQuoteChar"/>
    <w:uiPriority w:val="30"/>
    <w:qFormat/>
    <w:rsid w:val="00506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A7A"/>
    <w:rPr>
      <w:i/>
      <w:iCs/>
      <w:color w:val="0F4761" w:themeColor="accent1" w:themeShade="BF"/>
    </w:rPr>
  </w:style>
  <w:style w:type="character" w:styleId="IntenseReference">
    <w:name w:val="Intense Reference"/>
    <w:basedOn w:val="DefaultParagraphFont"/>
    <w:uiPriority w:val="32"/>
    <w:qFormat/>
    <w:rsid w:val="00506A7A"/>
    <w:rPr>
      <w:b/>
      <w:bCs/>
      <w:smallCaps/>
      <w:color w:val="0F4761" w:themeColor="accent1" w:themeShade="BF"/>
      <w:spacing w:val="5"/>
    </w:rPr>
  </w:style>
  <w:style w:type="table" w:styleId="TableGrid">
    <w:name w:val="Table Grid"/>
    <w:basedOn w:val="TableNormal"/>
    <w:uiPriority w:val="39"/>
    <w:rsid w:val="005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F84"/>
  </w:style>
  <w:style w:type="paragraph" w:styleId="Footer">
    <w:name w:val="footer"/>
    <w:basedOn w:val="Normal"/>
    <w:link w:val="FooterChar"/>
    <w:uiPriority w:val="99"/>
    <w:unhideWhenUsed/>
    <w:rsid w:val="00AB1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F84"/>
  </w:style>
  <w:style w:type="character" w:styleId="PlaceholderText">
    <w:name w:val="Placeholder Text"/>
    <w:basedOn w:val="DefaultParagraphFont"/>
    <w:uiPriority w:val="99"/>
    <w:rsid w:val="005B6BBD"/>
    <w:rPr>
      <w:color w:val="666666"/>
    </w:rPr>
  </w:style>
  <w:style w:type="paragraph" w:customStyle="1" w:styleId="VWBody">
    <w:name w:val="VW Body"/>
    <w:qFormat/>
    <w:rsid w:val="00C56FE7"/>
    <w:pPr>
      <w:spacing w:before="60" w:after="60" w:line="240" w:lineRule="auto"/>
    </w:pPr>
    <w:rPr>
      <w:rFonts w:eastAsia="Cambria" w:cstheme="minorHAnsi"/>
      <w:kern w:val="0"/>
      <w14:ligatures w14:val="none"/>
    </w:rPr>
  </w:style>
  <w:style w:type="paragraph" w:customStyle="1" w:styleId="VWTitle">
    <w:name w:val="VW Title"/>
    <w:autoRedefine/>
    <w:qFormat/>
    <w:rsid w:val="00C56FE7"/>
    <w:pPr>
      <w:framePr w:hSpace="180" w:wrap="around" w:vAnchor="page" w:hAnchor="margin" w:xAlign="center" w:y="300"/>
      <w:spacing w:after="0" w:line="240" w:lineRule="auto"/>
    </w:pPr>
    <w:rPr>
      <w:rFonts w:asciiTheme="majorHAnsi" w:eastAsia="Times New Roman" w:hAnsiTheme="majorHAnsi" w:cs="Arial"/>
      <w:b/>
      <w:bCs/>
      <w:caps/>
      <w:noProof/>
      <w:color w:val="FFFFFF" w:themeColor="background1"/>
      <w:kern w:val="32"/>
      <w:sz w:val="60"/>
      <w:szCs w:val="60"/>
      <w:lang w:val="en-US"/>
      <w14:ligatures w14:val="none"/>
    </w:rPr>
  </w:style>
  <w:style w:type="table" w:customStyle="1" w:styleId="TableGrid1">
    <w:name w:val="Table Grid1"/>
    <w:basedOn w:val="TableNormal"/>
    <w:next w:val="TableGrid"/>
    <w:rsid w:val="00C56FE7"/>
    <w:pPr>
      <w:spacing w:after="0" w:line="240" w:lineRule="auto"/>
    </w:pPr>
    <w:rPr>
      <w:rFonts w:eastAsia="Times New Roman" w:cs="Calibri (Body)"/>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4ABC"/>
  </w:style>
  <w:style w:type="paragraph" w:customStyle="1" w:styleId="subsubHEADING">
    <w:name w:val="sub sub HEADING"/>
    <w:basedOn w:val="Heading4"/>
    <w:next w:val="Normal"/>
    <w:qFormat/>
    <w:rsid w:val="0053608D"/>
    <w:pPr>
      <w:tabs>
        <w:tab w:val="left" w:pos="4678"/>
      </w:tabs>
      <w:spacing w:before="0" w:after="0" w:line="240" w:lineRule="auto"/>
    </w:pPr>
    <w:rPr>
      <w:rFonts w:ascii="Arial Narrow" w:hAnsi="Arial Narrow"/>
      <w:b/>
      <w:bCs/>
      <w:i w:val="0"/>
      <w:color w:val="003D58"/>
      <w:kern w:val="0"/>
      <w:sz w:val="24"/>
      <w:szCs w:val="24"/>
      <w14:ligatures w14:val="none"/>
    </w:rPr>
  </w:style>
  <w:style w:type="paragraph" w:customStyle="1" w:styleId="BODY">
    <w:name w:val="BODY"/>
    <w:basedOn w:val="Normal"/>
    <w:qFormat/>
    <w:rsid w:val="00A44E3A"/>
    <w:pPr>
      <w:spacing w:after="0" w:line="240" w:lineRule="auto"/>
    </w:pPr>
    <w:rPr>
      <w:rFonts w:ascii="Arial Narrow" w:eastAsia="Cambria" w:hAnsi="Arial Narrow" w:cs="Times New Roman"/>
      <w:kern w:val="0"/>
      <w:szCs w:val="24"/>
      <w14:ligatures w14:val="none"/>
    </w:rPr>
  </w:style>
  <w:style w:type="character" w:styleId="CommentReference">
    <w:name w:val="annotation reference"/>
    <w:basedOn w:val="DefaultParagraphFont"/>
    <w:uiPriority w:val="99"/>
    <w:semiHidden/>
    <w:unhideWhenUsed/>
    <w:rsid w:val="00876892"/>
    <w:rPr>
      <w:sz w:val="16"/>
      <w:szCs w:val="16"/>
    </w:rPr>
  </w:style>
  <w:style w:type="paragraph" w:styleId="CommentText">
    <w:name w:val="annotation text"/>
    <w:basedOn w:val="Normal"/>
    <w:link w:val="CommentTextChar"/>
    <w:uiPriority w:val="99"/>
    <w:unhideWhenUsed/>
    <w:rsid w:val="00876892"/>
    <w:pPr>
      <w:spacing w:line="240" w:lineRule="auto"/>
    </w:pPr>
    <w:rPr>
      <w:sz w:val="20"/>
      <w:szCs w:val="20"/>
    </w:rPr>
  </w:style>
  <w:style w:type="character" w:customStyle="1" w:styleId="CommentTextChar">
    <w:name w:val="Comment Text Char"/>
    <w:basedOn w:val="DefaultParagraphFont"/>
    <w:link w:val="CommentText"/>
    <w:uiPriority w:val="99"/>
    <w:rsid w:val="00876892"/>
    <w:rPr>
      <w:sz w:val="20"/>
      <w:szCs w:val="20"/>
    </w:rPr>
  </w:style>
  <w:style w:type="paragraph" w:styleId="CommentSubject">
    <w:name w:val="annotation subject"/>
    <w:basedOn w:val="CommentText"/>
    <w:next w:val="CommentText"/>
    <w:link w:val="CommentSubjectChar"/>
    <w:uiPriority w:val="99"/>
    <w:semiHidden/>
    <w:unhideWhenUsed/>
    <w:rsid w:val="00876892"/>
    <w:rPr>
      <w:b/>
      <w:bCs/>
    </w:rPr>
  </w:style>
  <w:style w:type="character" w:customStyle="1" w:styleId="CommentSubjectChar">
    <w:name w:val="Comment Subject Char"/>
    <w:basedOn w:val="CommentTextChar"/>
    <w:link w:val="CommentSubject"/>
    <w:uiPriority w:val="99"/>
    <w:semiHidden/>
    <w:rsid w:val="00876892"/>
    <w:rPr>
      <w:b/>
      <w:bCs/>
      <w:sz w:val="20"/>
      <w:szCs w:val="20"/>
    </w:rPr>
  </w:style>
  <w:style w:type="paragraph" w:styleId="Revision">
    <w:name w:val="Revision"/>
    <w:hidden/>
    <w:uiPriority w:val="99"/>
    <w:semiHidden/>
    <w:rsid w:val="00C74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5239">
      <w:bodyDiv w:val="1"/>
      <w:marLeft w:val="0"/>
      <w:marRight w:val="0"/>
      <w:marTop w:val="0"/>
      <w:marBottom w:val="0"/>
      <w:divBdr>
        <w:top w:val="none" w:sz="0" w:space="0" w:color="auto"/>
        <w:left w:val="none" w:sz="0" w:space="0" w:color="auto"/>
        <w:bottom w:val="none" w:sz="0" w:space="0" w:color="auto"/>
        <w:right w:val="none" w:sz="0" w:space="0" w:color="auto"/>
      </w:divBdr>
      <w:divsChild>
        <w:div w:id="294289079">
          <w:marLeft w:val="0"/>
          <w:marRight w:val="0"/>
          <w:marTop w:val="0"/>
          <w:marBottom w:val="0"/>
          <w:divBdr>
            <w:top w:val="none" w:sz="0" w:space="0" w:color="auto"/>
            <w:left w:val="none" w:sz="0" w:space="0" w:color="auto"/>
            <w:bottom w:val="none" w:sz="0" w:space="0" w:color="auto"/>
            <w:right w:val="none" w:sz="0" w:space="0" w:color="auto"/>
          </w:divBdr>
          <w:divsChild>
            <w:div w:id="985204393">
              <w:marLeft w:val="0"/>
              <w:marRight w:val="0"/>
              <w:marTop w:val="0"/>
              <w:marBottom w:val="0"/>
              <w:divBdr>
                <w:top w:val="none" w:sz="0" w:space="0" w:color="auto"/>
                <w:left w:val="none" w:sz="0" w:space="0" w:color="auto"/>
                <w:bottom w:val="none" w:sz="0" w:space="0" w:color="auto"/>
                <w:right w:val="none" w:sz="0" w:space="0" w:color="auto"/>
              </w:divBdr>
            </w:div>
          </w:divsChild>
        </w:div>
        <w:div w:id="981275537">
          <w:marLeft w:val="0"/>
          <w:marRight w:val="0"/>
          <w:marTop w:val="0"/>
          <w:marBottom w:val="0"/>
          <w:divBdr>
            <w:top w:val="none" w:sz="0" w:space="0" w:color="auto"/>
            <w:left w:val="none" w:sz="0" w:space="0" w:color="auto"/>
            <w:bottom w:val="none" w:sz="0" w:space="0" w:color="auto"/>
            <w:right w:val="none" w:sz="0" w:space="0" w:color="auto"/>
          </w:divBdr>
          <w:divsChild>
            <w:div w:id="25181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9634">
      <w:bodyDiv w:val="1"/>
      <w:marLeft w:val="0"/>
      <w:marRight w:val="0"/>
      <w:marTop w:val="0"/>
      <w:marBottom w:val="0"/>
      <w:divBdr>
        <w:top w:val="none" w:sz="0" w:space="0" w:color="auto"/>
        <w:left w:val="none" w:sz="0" w:space="0" w:color="auto"/>
        <w:bottom w:val="none" w:sz="0" w:space="0" w:color="auto"/>
        <w:right w:val="none" w:sz="0" w:space="0" w:color="auto"/>
      </w:divBdr>
    </w:div>
    <w:div w:id="356931672">
      <w:bodyDiv w:val="1"/>
      <w:marLeft w:val="0"/>
      <w:marRight w:val="0"/>
      <w:marTop w:val="0"/>
      <w:marBottom w:val="0"/>
      <w:divBdr>
        <w:top w:val="none" w:sz="0" w:space="0" w:color="auto"/>
        <w:left w:val="none" w:sz="0" w:space="0" w:color="auto"/>
        <w:bottom w:val="none" w:sz="0" w:space="0" w:color="auto"/>
        <w:right w:val="none" w:sz="0" w:space="0" w:color="auto"/>
      </w:divBdr>
    </w:div>
    <w:div w:id="419910018">
      <w:bodyDiv w:val="1"/>
      <w:marLeft w:val="0"/>
      <w:marRight w:val="0"/>
      <w:marTop w:val="0"/>
      <w:marBottom w:val="0"/>
      <w:divBdr>
        <w:top w:val="none" w:sz="0" w:space="0" w:color="auto"/>
        <w:left w:val="none" w:sz="0" w:space="0" w:color="auto"/>
        <w:bottom w:val="none" w:sz="0" w:space="0" w:color="auto"/>
        <w:right w:val="none" w:sz="0" w:space="0" w:color="auto"/>
      </w:divBdr>
    </w:div>
    <w:div w:id="542643490">
      <w:bodyDiv w:val="1"/>
      <w:marLeft w:val="0"/>
      <w:marRight w:val="0"/>
      <w:marTop w:val="0"/>
      <w:marBottom w:val="0"/>
      <w:divBdr>
        <w:top w:val="none" w:sz="0" w:space="0" w:color="auto"/>
        <w:left w:val="none" w:sz="0" w:space="0" w:color="auto"/>
        <w:bottom w:val="none" w:sz="0" w:space="0" w:color="auto"/>
        <w:right w:val="none" w:sz="0" w:space="0" w:color="auto"/>
      </w:divBdr>
      <w:divsChild>
        <w:div w:id="418597309">
          <w:marLeft w:val="0"/>
          <w:marRight w:val="0"/>
          <w:marTop w:val="0"/>
          <w:marBottom w:val="0"/>
          <w:divBdr>
            <w:top w:val="none" w:sz="0" w:space="0" w:color="auto"/>
            <w:left w:val="none" w:sz="0" w:space="0" w:color="auto"/>
            <w:bottom w:val="none" w:sz="0" w:space="0" w:color="auto"/>
            <w:right w:val="none" w:sz="0" w:space="0" w:color="auto"/>
          </w:divBdr>
          <w:divsChild>
            <w:div w:id="493110648">
              <w:marLeft w:val="0"/>
              <w:marRight w:val="0"/>
              <w:marTop w:val="0"/>
              <w:marBottom w:val="0"/>
              <w:divBdr>
                <w:top w:val="none" w:sz="0" w:space="0" w:color="auto"/>
                <w:left w:val="none" w:sz="0" w:space="0" w:color="auto"/>
                <w:bottom w:val="none" w:sz="0" w:space="0" w:color="auto"/>
                <w:right w:val="none" w:sz="0" w:space="0" w:color="auto"/>
              </w:divBdr>
            </w:div>
          </w:divsChild>
        </w:div>
        <w:div w:id="1568418300">
          <w:marLeft w:val="0"/>
          <w:marRight w:val="0"/>
          <w:marTop w:val="0"/>
          <w:marBottom w:val="0"/>
          <w:divBdr>
            <w:top w:val="none" w:sz="0" w:space="0" w:color="auto"/>
            <w:left w:val="none" w:sz="0" w:space="0" w:color="auto"/>
            <w:bottom w:val="none" w:sz="0" w:space="0" w:color="auto"/>
            <w:right w:val="none" w:sz="0" w:space="0" w:color="auto"/>
          </w:divBdr>
          <w:divsChild>
            <w:div w:id="1762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4731">
      <w:bodyDiv w:val="1"/>
      <w:marLeft w:val="0"/>
      <w:marRight w:val="0"/>
      <w:marTop w:val="0"/>
      <w:marBottom w:val="0"/>
      <w:divBdr>
        <w:top w:val="none" w:sz="0" w:space="0" w:color="auto"/>
        <w:left w:val="none" w:sz="0" w:space="0" w:color="auto"/>
        <w:bottom w:val="none" w:sz="0" w:space="0" w:color="auto"/>
        <w:right w:val="none" w:sz="0" w:space="0" w:color="auto"/>
      </w:divBdr>
    </w:div>
    <w:div w:id="816190129">
      <w:bodyDiv w:val="1"/>
      <w:marLeft w:val="0"/>
      <w:marRight w:val="0"/>
      <w:marTop w:val="0"/>
      <w:marBottom w:val="0"/>
      <w:divBdr>
        <w:top w:val="none" w:sz="0" w:space="0" w:color="auto"/>
        <w:left w:val="none" w:sz="0" w:space="0" w:color="auto"/>
        <w:bottom w:val="none" w:sz="0" w:space="0" w:color="auto"/>
        <w:right w:val="none" w:sz="0" w:space="0" w:color="auto"/>
      </w:divBdr>
    </w:div>
    <w:div w:id="868760677">
      <w:bodyDiv w:val="1"/>
      <w:marLeft w:val="0"/>
      <w:marRight w:val="0"/>
      <w:marTop w:val="0"/>
      <w:marBottom w:val="0"/>
      <w:divBdr>
        <w:top w:val="none" w:sz="0" w:space="0" w:color="auto"/>
        <w:left w:val="none" w:sz="0" w:space="0" w:color="auto"/>
        <w:bottom w:val="none" w:sz="0" w:space="0" w:color="auto"/>
        <w:right w:val="none" w:sz="0" w:space="0" w:color="auto"/>
      </w:divBdr>
    </w:div>
    <w:div w:id="1033188251">
      <w:bodyDiv w:val="1"/>
      <w:marLeft w:val="0"/>
      <w:marRight w:val="0"/>
      <w:marTop w:val="0"/>
      <w:marBottom w:val="0"/>
      <w:divBdr>
        <w:top w:val="none" w:sz="0" w:space="0" w:color="auto"/>
        <w:left w:val="none" w:sz="0" w:space="0" w:color="auto"/>
        <w:bottom w:val="none" w:sz="0" w:space="0" w:color="auto"/>
        <w:right w:val="none" w:sz="0" w:space="0" w:color="auto"/>
      </w:divBdr>
    </w:div>
    <w:div w:id="1693073515">
      <w:bodyDiv w:val="1"/>
      <w:marLeft w:val="0"/>
      <w:marRight w:val="0"/>
      <w:marTop w:val="0"/>
      <w:marBottom w:val="0"/>
      <w:divBdr>
        <w:top w:val="none" w:sz="0" w:space="0" w:color="auto"/>
        <w:left w:val="none" w:sz="0" w:space="0" w:color="auto"/>
        <w:bottom w:val="none" w:sz="0" w:space="0" w:color="auto"/>
        <w:right w:val="none" w:sz="0" w:space="0" w:color="auto"/>
      </w:divBdr>
    </w:div>
    <w:div w:id="17578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erry\OneDrive%20-%20VenuesWest\Documents\DRAFT%20JDF%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2212895A5E4BF3A9FD5F8D1EB5FDA7"/>
        <w:category>
          <w:name w:val="General"/>
          <w:gallery w:val="placeholder"/>
        </w:category>
        <w:types>
          <w:type w:val="bbPlcHdr"/>
        </w:types>
        <w:behaviors>
          <w:behavior w:val="content"/>
        </w:behaviors>
        <w:guid w:val="{EE7FB1CE-5409-45B5-93D1-79B5490D8C25}"/>
      </w:docPartPr>
      <w:docPartBody>
        <w:p w:rsidR="0087098C" w:rsidRDefault="0087098C" w:rsidP="0087098C">
          <w:pPr>
            <w:pStyle w:val="A32212895A5E4BF3A9FD5F8D1EB5FDA7"/>
          </w:pPr>
          <w:r w:rsidRPr="00C61FE9">
            <w:rPr>
              <w:rStyle w:val="PlaceholderText"/>
              <w:shd w:val="clear" w:color="auto" w:fill="EEEFF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67"/>
    <w:rsid w:val="000222D3"/>
    <w:rsid w:val="00157AB5"/>
    <w:rsid w:val="00175D3F"/>
    <w:rsid w:val="001D1214"/>
    <w:rsid w:val="002932E8"/>
    <w:rsid w:val="002B5AAE"/>
    <w:rsid w:val="00391FBF"/>
    <w:rsid w:val="00401768"/>
    <w:rsid w:val="00462867"/>
    <w:rsid w:val="00484FE7"/>
    <w:rsid w:val="004F07D9"/>
    <w:rsid w:val="00541A9F"/>
    <w:rsid w:val="00576D66"/>
    <w:rsid w:val="00586C5B"/>
    <w:rsid w:val="00587647"/>
    <w:rsid w:val="006759B4"/>
    <w:rsid w:val="006B2EDA"/>
    <w:rsid w:val="006D5402"/>
    <w:rsid w:val="00813A0E"/>
    <w:rsid w:val="008149C4"/>
    <w:rsid w:val="00842D48"/>
    <w:rsid w:val="0086137A"/>
    <w:rsid w:val="0087098C"/>
    <w:rsid w:val="009046F9"/>
    <w:rsid w:val="009809D2"/>
    <w:rsid w:val="009A126C"/>
    <w:rsid w:val="009C0BDE"/>
    <w:rsid w:val="009F1C0D"/>
    <w:rsid w:val="00A60C1E"/>
    <w:rsid w:val="00AA34CB"/>
    <w:rsid w:val="00B84AB5"/>
    <w:rsid w:val="00BD2966"/>
    <w:rsid w:val="00CD5DD0"/>
    <w:rsid w:val="00D02ED3"/>
    <w:rsid w:val="00D35EB4"/>
    <w:rsid w:val="00E11BC3"/>
    <w:rsid w:val="00E53793"/>
    <w:rsid w:val="00E5395A"/>
    <w:rsid w:val="00E55590"/>
    <w:rsid w:val="00E80A30"/>
    <w:rsid w:val="00EA092E"/>
    <w:rsid w:val="00EC65A0"/>
    <w:rsid w:val="00FF1D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7098C"/>
    <w:rPr>
      <w:color w:val="666666"/>
    </w:rPr>
  </w:style>
  <w:style w:type="paragraph" w:customStyle="1" w:styleId="A32212895A5E4BF3A9FD5F8D1EB5FDA7">
    <w:name w:val="A32212895A5E4BF3A9FD5F8D1EB5FDA7"/>
    <w:rsid w:val="00870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DRAFT JDF TEMPLATE V2</Template>
  <TotalTime>10</TotalTime>
  <Pages>4</Pages>
  <Words>1441</Words>
  <Characters>8219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Perry</dc:creator>
  <cp:keywords/>
  <dc:description/>
  <cp:lastModifiedBy>Samantha Pearson</cp:lastModifiedBy>
  <cp:revision>2</cp:revision>
  <cp:lastPrinted>2024-09-03T08:05:00Z</cp:lastPrinted>
  <dcterms:created xsi:type="dcterms:W3CDTF">2026-05-18T01:34:00Z</dcterms:created>
  <dcterms:modified xsi:type="dcterms:W3CDTF">2026-05-18T01:34:00Z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16880099,3f8c0730,33d9ffc</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MSIP_Label_17bf4ece-30cf-4371-aeb0-0f95422b5274_Enabled">
    <vt:lpwstr>true</vt:lpwstr>
  </property>
  <property fmtid="{D5CDD505-2E9C-101B-9397-08002B2CF9AE}" pid="6" name="MSIP_Label_17bf4ece-30cf-4371-aeb0-0f95422b5274_SetDate">
    <vt:lpwstr>2026-04-02T22:13:04Z</vt:lpwstr>
  </property>
  <property fmtid="{D5CDD505-2E9C-101B-9397-08002B2CF9AE}" pid="7" name="MSIP_Label_17bf4ece-30cf-4371-aeb0-0f95422b5274_Method">
    <vt:lpwstr>Standard</vt:lpwstr>
  </property>
  <property fmtid="{D5CDD505-2E9C-101B-9397-08002B2CF9AE}" pid="8" name="MSIP_Label_17bf4ece-30cf-4371-aeb0-0f95422b5274_Name">
    <vt:lpwstr>OFFICIAL</vt:lpwstr>
  </property>
  <property fmtid="{D5CDD505-2E9C-101B-9397-08002B2CF9AE}" pid="9" name="MSIP_Label_17bf4ece-30cf-4371-aeb0-0f95422b5274_SiteId">
    <vt:lpwstr>e85ca012-9e34-46e7-a071-3b472498d7ca</vt:lpwstr>
  </property>
  <property fmtid="{D5CDD505-2E9C-101B-9397-08002B2CF9AE}" pid="10" name="MSIP_Label_17bf4ece-30cf-4371-aeb0-0f95422b5274_ActionId">
    <vt:lpwstr>5f1139b8-fe16-4694-9b46-6551468b016f</vt:lpwstr>
  </property>
  <property fmtid="{D5CDD505-2E9C-101B-9397-08002B2CF9AE}" pid="11" name="MSIP_Label_17bf4ece-30cf-4371-aeb0-0f95422b5274_ContentBits">
    <vt:lpwstr>1</vt:lpwstr>
  </property>
  <property fmtid="{D5CDD505-2E9C-101B-9397-08002B2CF9AE}" pid="12" name="MSIP_Label_17bf4ece-30cf-4371-aeb0-0f95422b5274_Tag">
    <vt:lpwstr>10, 3, 0, 1</vt:lpwstr>
  </property>
</Properties>
</file>