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9615595" w:rsidR="004A4EC3" w:rsidRPr="00C14680" w:rsidRDefault="00C72DEE"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Senior Director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9</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DPC22021</w:t>
      </w:r>
      <w:r w:rsidR="004A4EC3" w:rsidRPr="00C14680">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45"/>
        <w:gridCol w:w="3964"/>
      </w:tblGrid>
      <w:tr w:rsidR="00C70D65" w:rsidRPr="00D007E3" w14:paraId="203B70C2" w14:textId="77777777" w:rsidTr="00C72DEE">
        <w:trPr>
          <w:trHeight w:val="465"/>
        </w:trPr>
        <w:tc>
          <w:tcPr>
            <w:tcW w:w="5245" w:type="dxa"/>
            <w:vAlign w:val="center"/>
          </w:tcPr>
          <w:p w14:paraId="68AA88FF" w14:textId="6CDCC12E"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C72DEE">
              <w:rPr>
                <w:color w:val="auto"/>
              </w:rPr>
              <w:t>Office of Digital Government</w:t>
            </w:r>
          </w:p>
        </w:tc>
        <w:tc>
          <w:tcPr>
            <w:tcW w:w="3964" w:type="dxa"/>
            <w:vAlign w:val="center"/>
          </w:tcPr>
          <w:p w14:paraId="71568BBB" w14:textId="4CABAE45" w:rsidR="00C70D65" w:rsidRPr="002A3C71" w:rsidRDefault="00C70D65" w:rsidP="00862967">
            <w:pPr>
              <w:pStyle w:val="Formfields"/>
              <w:framePr w:hSpace="0" w:wrap="auto" w:vAnchor="margin" w:yAlign="inline"/>
              <w:suppressOverlap w:val="0"/>
              <w:rPr>
                <w:color w:val="auto"/>
              </w:rPr>
            </w:pPr>
            <w:r w:rsidRPr="00D007E3">
              <w:t>Reports to:</w:t>
            </w:r>
            <w:r w:rsidRPr="003E4522">
              <w:rPr>
                <w:color w:val="auto"/>
              </w:rPr>
              <w:t xml:space="preserve"> </w:t>
            </w:r>
            <w:r w:rsidR="00C72DEE">
              <w:rPr>
                <w:color w:val="auto"/>
              </w:rPr>
              <w:t>Chief Technology Officer</w:t>
            </w:r>
          </w:p>
        </w:tc>
      </w:tr>
      <w:tr w:rsidR="00C70D65" w:rsidRPr="00D007E3" w14:paraId="44646006" w14:textId="77777777" w:rsidTr="00C72DEE">
        <w:trPr>
          <w:trHeight w:val="465"/>
        </w:trPr>
        <w:tc>
          <w:tcPr>
            <w:tcW w:w="5245" w:type="dxa"/>
            <w:vAlign w:val="center"/>
          </w:tcPr>
          <w:p w14:paraId="236184A4" w14:textId="47131475" w:rsidR="00C70D65" w:rsidRPr="002A3C71" w:rsidRDefault="00C70D65" w:rsidP="00862967">
            <w:pPr>
              <w:pStyle w:val="Formfields"/>
              <w:framePr w:hSpace="0" w:wrap="auto" w:vAnchor="margin" w:yAlign="inline"/>
              <w:suppressOverlap w:val="0"/>
              <w:rPr>
                <w:color w:val="auto"/>
              </w:rPr>
            </w:pPr>
            <w:r>
              <w:t xml:space="preserve">Directorate </w:t>
            </w:r>
            <w:r w:rsidRPr="0061254A">
              <w:t>Branch:</w:t>
            </w:r>
            <w:r w:rsidR="00C72DEE">
              <w:t xml:space="preserve"> </w:t>
            </w:r>
            <w:r w:rsidR="00C72DEE" w:rsidRPr="00C72DEE">
              <w:rPr>
                <w:color w:val="000000" w:themeColor="text1"/>
              </w:rPr>
              <w:t>Digital Transformation and Technolo</w:t>
            </w:r>
            <w:r w:rsidR="00C72DEE">
              <w:rPr>
                <w:color w:val="000000" w:themeColor="text1"/>
              </w:rPr>
              <w:t>gy</w:t>
            </w:r>
          </w:p>
        </w:tc>
        <w:tc>
          <w:tcPr>
            <w:tcW w:w="3964" w:type="dxa"/>
            <w:vAlign w:val="center"/>
          </w:tcPr>
          <w:p w14:paraId="6F2A49F6" w14:textId="76442C76"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sidR="00C72DEE">
              <w:rPr>
                <w:color w:val="auto"/>
              </w:rPr>
              <w:t>2 FTE</w:t>
            </w:r>
          </w:p>
        </w:tc>
      </w:tr>
      <w:tr w:rsidR="00C70D65" w:rsidRPr="00D007E3" w14:paraId="2D9EFB73" w14:textId="77777777" w:rsidTr="00C72DEE">
        <w:trPr>
          <w:trHeight w:val="465"/>
        </w:trPr>
        <w:tc>
          <w:tcPr>
            <w:tcW w:w="524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396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3F5F9115" w14:textId="58CAC88A" w:rsidR="00C72DEE" w:rsidRDefault="00C72DEE" w:rsidP="00C72DEE">
      <w:pPr>
        <w:jc w:val="both"/>
      </w:pPr>
      <w:r>
        <w:t xml:space="preserve">The Digital Transformation and Technology Unit is a passionate interdisciplinary team that sits within </w:t>
      </w:r>
      <w:r>
        <w:t>the Office of Digital Government</w:t>
      </w:r>
      <w:r>
        <w:t xml:space="preserve"> and is responsible for developing, maintaining and improving a range of digital products and services that are </w:t>
      </w:r>
      <w:r w:rsidRPr="001371CC">
        <w:t xml:space="preserve">delivering tangible outcomes for </w:t>
      </w:r>
      <w:r>
        <w:t>millions of Western Australians</w:t>
      </w:r>
      <w:r>
        <w:t>.</w:t>
      </w:r>
    </w:p>
    <w:p w14:paraId="7D1D0209" w14:textId="3797489D"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7AF6E057" w14:textId="77777777" w:rsidR="00C72DEE" w:rsidRPr="004C4007" w:rsidRDefault="00C72DEE" w:rsidP="00C72DEE">
      <w:pPr>
        <w:spacing w:after="0"/>
      </w:pPr>
      <w:r w:rsidRPr="004C4007">
        <w:t>The Senior Director provides leadership across strategy, governance, implementation, and operation of whole of</w:t>
      </w:r>
      <w:r>
        <w:t xml:space="preserve"> </w:t>
      </w:r>
      <w:r w:rsidRPr="004C4007">
        <w:t>government digital platforms that can be leveraged by the WA public sector to deliver government digital services to</w:t>
      </w:r>
      <w:r>
        <w:t xml:space="preserve"> </w:t>
      </w:r>
      <w:r w:rsidRPr="004C4007">
        <w:t>WA citizens, businesses and communities. This centralised and coordinated approach will reduce duplication across</w:t>
      </w:r>
    </w:p>
    <w:p w14:paraId="65053265" w14:textId="77777777" w:rsidR="00C72DEE" w:rsidRDefault="00C72DEE" w:rsidP="00C72DEE">
      <w:r w:rsidRPr="004C4007">
        <w:t>the public sector, improve user experience, minimise risk and allow agencies to deliver services more quickly at</w:t>
      </w:r>
      <w:r>
        <w:t xml:space="preserve"> </w:t>
      </w:r>
      <w:r w:rsidRPr="004C4007">
        <w:t>reduced cost.</w:t>
      </w:r>
    </w:p>
    <w:p w14:paraId="101850CC" w14:textId="33587ECC" w:rsidR="00C72DEE" w:rsidRDefault="00C72DEE" w:rsidP="00C72DEE">
      <w:pPr>
        <w:pStyle w:val="ListParagraph"/>
        <w:numPr>
          <w:ilvl w:val="0"/>
          <w:numId w:val="27"/>
        </w:numPr>
      </w:pPr>
      <w:r>
        <w:t>Leads the change in culture and service delivery required to drive digital reform that transforms the delivery of services, including the planning and oversight of transitions to new technologies.</w:t>
      </w:r>
    </w:p>
    <w:p w14:paraId="0FE06147" w14:textId="7C8AA39E" w:rsidR="00C72DEE" w:rsidRDefault="00C72DEE" w:rsidP="00C72DEE">
      <w:pPr>
        <w:pStyle w:val="ListParagraph"/>
        <w:numPr>
          <w:ilvl w:val="0"/>
          <w:numId w:val="27"/>
        </w:numPr>
      </w:pPr>
      <w:r>
        <w:t>Develops strategies and roadmaps using holistic approach to whole of government digital platforms to drive uptake of offerings by public sector agencies.</w:t>
      </w:r>
    </w:p>
    <w:p w14:paraId="2E0098FE" w14:textId="23A498E7" w:rsidR="00C72DEE" w:rsidRDefault="00C72DEE" w:rsidP="00C72DEE">
      <w:pPr>
        <w:pStyle w:val="ListParagraph"/>
        <w:numPr>
          <w:ilvl w:val="0"/>
          <w:numId w:val="27"/>
        </w:numPr>
      </w:pPr>
      <w:r>
        <w:lastRenderedPageBreak/>
        <w:t>Coordinates, oversees and ensures the effective implementation of a work plan to develop and operate centralised whole of government digital platforms.</w:t>
      </w:r>
    </w:p>
    <w:p w14:paraId="67FA0497" w14:textId="4705F15B" w:rsidR="00C72DEE" w:rsidRDefault="00C72DEE" w:rsidP="00C72DEE">
      <w:pPr>
        <w:pStyle w:val="ListParagraph"/>
        <w:numPr>
          <w:ilvl w:val="0"/>
          <w:numId w:val="27"/>
        </w:numPr>
      </w:pPr>
      <w:r>
        <w:t>Monitors and reports on the uptake and benefits realisation by the public sector.</w:t>
      </w:r>
    </w:p>
    <w:p w14:paraId="7D8EF728" w14:textId="65E2C0A9" w:rsidR="00C72DEE" w:rsidRDefault="00C72DEE" w:rsidP="00C72DEE">
      <w:pPr>
        <w:pStyle w:val="ListParagraph"/>
        <w:numPr>
          <w:ilvl w:val="0"/>
          <w:numId w:val="27"/>
        </w:numPr>
      </w:pPr>
      <w:r>
        <w:t>Provides executive advice to the Government Chief Information Officer and the Chief Technology Officer on Digital Transformation matters and other relevant emerging issues.</w:t>
      </w:r>
    </w:p>
    <w:p w14:paraId="70ACC5B8" w14:textId="5685DCF8" w:rsidR="00C72DEE" w:rsidRDefault="00C72DEE" w:rsidP="00C72DEE">
      <w:pPr>
        <w:pStyle w:val="ListParagraph"/>
        <w:numPr>
          <w:ilvl w:val="0"/>
          <w:numId w:val="27"/>
        </w:numPr>
      </w:pPr>
      <w:r>
        <w:t>Works across Government to contribute to the development of ‘One Government’ approach when providing digital government services across multiple government organisations.</w:t>
      </w:r>
    </w:p>
    <w:p w14:paraId="2F2A1E5A" w14:textId="50AC65FA" w:rsidR="00C72DEE" w:rsidRDefault="00C72DEE" w:rsidP="00C72DEE">
      <w:pPr>
        <w:pStyle w:val="ListParagraph"/>
        <w:numPr>
          <w:ilvl w:val="0"/>
          <w:numId w:val="27"/>
        </w:numPr>
      </w:pPr>
      <w:r>
        <w:t>Participates and represents the Department and its interests at committees, working groups, and other forums within the State, at inter-jurisdiction level and/or at national level as appropriate.</w:t>
      </w:r>
    </w:p>
    <w:p w14:paraId="7DDB3BEE" w14:textId="6DC93B99" w:rsidR="00C72DEE" w:rsidRDefault="00C72DEE" w:rsidP="00C72DEE">
      <w:pPr>
        <w:pStyle w:val="ListParagraph"/>
        <w:numPr>
          <w:ilvl w:val="0"/>
          <w:numId w:val="27"/>
        </w:numPr>
      </w:pPr>
      <w:r>
        <w:t>Improves digital capability across the organisation to ensure staff have the right skills and training to maximise value from current and new technologies.</w:t>
      </w:r>
    </w:p>
    <w:p w14:paraId="5E972679" w14:textId="12C101A8" w:rsidR="00C72DEE" w:rsidRDefault="00C72DEE" w:rsidP="00C72DEE">
      <w:pPr>
        <w:pStyle w:val="ListParagraph"/>
        <w:numPr>
          <w:ilvl w:val="0"/>
          <w:numId w:val="27"/>
        </w:numPr>
      </w:pPr>
      <w:r>
        <w:t>Identifies future technology opportunities to improve effectiveness and efficiency of the centralised digital platforms, ensuring risks are minimised and managed, opportunities are pursued, red tape is reduced and value for money is increased.</w:t>
      </w:r>
    </w:p>
    <w:p w14:paraId="558FFC16" w14:textId="5B220D4D" w:rsidR="00896221" w:rsidRDefault="00C72DEE" w:rsidP="00C72DEE">
      <w:pPr>
        <w:pStyle w:val="ListParagraph"/>
        <w:numPr>
          <w:ilvl w:val="0"/>
          <w:numId w:val="27"/>
        </w:numPr>
      </w:pPr>
      <w:r>
        <w:t>A catalyst for innovation and reforms for digital service delivery, drives initiatives and partnerships aligned with the State’s Digital Strategy and Government’s priorities.</w:t>
      </w:r>
      <w:r>
        <w:tab/>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54C3ED66"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C72DEE" w:rsidRPr="00C72DEE">
          <w:rPr>
            <w:rStyle w:val="Hyperlink"/>
          </w:rPr>
          <w:t>Leading Leaders</w:t>
        </w:r>
      </w:hyperlink>
      <w:r w:rsidRPr="00957200">
        <w:t xml:space="preserve"> 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07BB4276" w14:textId="238A3438" w:rsidR="00C72DEE" w:rsidRPr="00C72DEE" w:rsidRDefault="00C72DEE" w:rsidP="00343EA2">
      <w:pPr>
        <w:spacing w:before="240" w:line="240" w:lineRule="auto"/>
        <w:rPr>
          <w:rFonts w:eastAsiaTheme="majorEastAsia" w:cs="Times New Roman (Headings CS)"/>
          <w:b/>
          <w:color w:val="000000" w:themeColor="text1"/>
        </w:rPr>
      </w:pPr>
      <w:r w:rsidRPr="00C72DEE">
        <w:rPr>
          <w:rFonts w:eastAsiaTheme="majorEastAsia" w:cs="Times New Roman (Headings CS)"/>
          <w:b/>
          <w:color w:val="000000" w:themeColor="text1"/>
        </w:rPr>
        <w:t>Essential</w:t>
      </w:r>
    </w:p>
    <w:p w14:paraId="1633AB04" w14:textId="3897F988" w:rsidR="00C72DEE" w:rsidRPr="00C72DEE" w:rsidRDefault="00C72DEE" w:rsidP="00C72DEE">
      <w:pPr>
        <w:pStyle w:val="ListParagraph"/>
        <w:numPr>
          <w:ilvl w:val="0"/>
          <w:numId w:val="28"/>
        </w:numPr>
        <w:tabs>
          <w:tab w:val="left" w:pos="5841"/>
        </w:tabs>
      </w:pPr>
      <w:r w:rsidRPr="00C72DEE">
        <w:rPr>
          <w:b/>
          <w:bCs/>
        </w:rPr>
        <w:t>Shapes and Manages Strategy</w:t>
      </w:r>
      <w:r w:rsidRPr="00C72DEE">
        <w:t xml:space="preserve"> </w:t>
      </w:r>
      <w:r w:rsidRPr="00C72DEE">
        <w:br/>
      </w:r>
      <w:r w:rsidRPr="006A5083">
        <w:t>Understands the organisation's direction and role within government</w:t>
      </w:r>
      <w:r>
        <w:t xml:space="preserve"> </w:t>
      </w:r>
      <w:r w:rsidRPr="006A5083">
        <w:t>and society, including the whole of government agenda. Considers multiple perspectives when assessing the ramifications of issues.</w:t>
      </w:r>
    </w:p>
    <w:p w14:paraId="57346A0E" w14:textId="561B968B" w:rsidR="00C72DEE" w:rsidRPr="00C72DEE" w:rsidRDefault="00C72DEE" w:rsidP="00C72DEE">
      <w:pPr>
        <w:pStyle w:val="ListParagraph"/>
        <w:numPr>
          <w:ilvl w:val="0"/>
          <w:numId w:val="28"/>
        </w:numPr>
        <w:tabs>
          <w:tab w:val="left" w:pos="5841"/>
        </w:tabs>
      </w:pPr>
      <w:r w:rsidRPr="00C72DEE">
        <w:rPr>
          <w:b/>
          <w:bCs/>
        </w:rPr>
        <w:lastRenderedPageBreak/>
        <w:t>Achieves Results</w:t>
      </w:r>
      <w:r w:rsidRPr="00C72DEE">
        <w:br/>
      </w:r>
      <w:r w:rsidRPr="006A5083">
        <w:t>Operates effectively in an environment of ongoing change and maintains flexibility.</w:t>
      </w:r>
      <w:r w:rsidRPr="00C72DEE">
        <w:t xml:space="preserve"> </w:t>
      </w:r>
      <w:r w:rsidRPr="006A5083">
        <w:t>Investigating ways to improve effectiveness by harnessing technology, implementing continuous improvement</w:t>
      </w:r>
      <w:r>
        <w:t xml:space="preserve"> </w:t>
      </w:r>
      <w:r w:rsidRPr="006A5083">
        <w:t>activities, and building skill within the organisation. Delivering expected outcomes through effectively</w:t>
      </w:r>
      <w:r>
        <w:t xml:space="preserve"> </w:t>
      </w:r>
      <w:r w:rsidRPr="006A5083">
        <w:t>managing risks, resources and develop innovative solutions.</w:t>
      </w:r>
      <w:r>
        <w:br/>
      </w:r>
    </w:p>
    <w:p w14:paraId="10D57E5E" w14:textId="7092C1AC" w:rsidR="00C72DEE" w:rsidRPr="00C72DEE" w:rsidRDefault="00C72DEE" w:rsidP="00C72DEE">
      <w:pPr>
        <w:pStyle w:val="ListParagraph"/>
        <w:numPr>
          <w:ilvl w:val="0"/>
          <w:numId w:val="28"/>
        </w:numPr>
        <w:tabs>
          <w:tab w:val="left" w:pos="5841"/>
        </w:tabs>
        <w:rPr>
          <w:b/>
          <w:bCs/>
        </w:rPr>
      </w:pPr>
      <w:r w:rsidRPr="00C72DEE">
        <w:rPr>
          <w:b/>
          <w:bCs/>
        </w:rPr>
        <w:t>Builds Productive Relationships</w:t>
      </w:r>
    </w:p>
    <w:p w14:paraId="695DA979" w14:textId="77777777" w:rsidR="00C72DEE" w:rsidRPr="00C72DEE" w:rsidRDefault="00C72DEE" w:rsidP="00C72DEE">
      <w:pPr>
        <w:pStyle w:val="ListParagraph"/>
        <w:tabs>
          <w:tab w:val="left" w:pos="5841"/>
        </w:tabs>
        <w:ind w:left="720"/>
        <w:rPr>
          <w:b/>
          <w:bCs/>
        </w:rPr>
      </w:pPr>
      <w:r w:rsidRPr="006A5083">
        <w:t>Builds and sustains relationships within the organisation, across</w:t>
      </w:r>
      <w:r>
        <w:t xml:space="preserve"> </w:t>
      </w:r>
      <w:r w:rsidRPr="006A5083">
        <w:t>the public sector and with a diverse range of external stakeholders through promoting cooperation and</w:t>
      </w:r>
      <w:r>
        <w:t xml:space="preserve"> </w:t>
      </w:r>
      <w:r w:rsidRPr="006A5083">
        <w:t>collaboration. Brings people together and encourages input from key stakeholders. Facilitates cooperation</w:t>
      </w:r>
      <w:r>
        <w:t xml:space="preserve"> </w:t>
      </w:r>
      <w:r w:rsidRPr="006A5083">
        <w:t>within and between organisations.</w:t>
      </w:r>
    </w:p>
    <w:p w14:paraId="493B722E" w14:textId="28A51797" w:rsidR="00C72DEE" w:rsidRPr="00C72DEE" w:rsidRDefault="00C72DEE" w:rsidP="00C72DEE">
      <w:pPr>
        <w:pStyle w:val="ListParagraph"/>
        <w:numPr>
          <w:ilvl w:val="0"/>
          <w:numId w:val="28"/>
        </w:numPr>
        <w:tabs>
          <w:tab w:val="left" w:pos="5841"/>
        </w:tabs>
      </w:pPr>
      <w:r w:rsidRPr="00C72DEE">
        <w:rPr>
          <w:b/>
          <w:bCs/>
        </w:rPr>
        <w:t xml:space="preserve">Exemplifies Personal Integrity </w:t>
      </w:r>
      <w:proofErr w:type="gramStart"/>
      <w:r w:rsidRPr="00C72DEE">
        <w:rPr>
          <w:b/>
          <w:bCs/>
        </w:rPr>
        <w:t>And</w:t>
      </w:r>
      <w:proofErr w:type="gramEnd"/>
      <w:r w:rsidRPr="00C72DEE">
        <w:rPr>
          <w:b/>
          <w:bCs/>
        </w:rPr>
        <w:t xml:space="preserve"> Self-Awareness</w:t>
      </w:r>
    </w:p>
    <w:p w14:paraId="089825C8" w14:textId="77777777" w:rsidR="00C72DEE" w:rsidRPr="00C72DEE" w:rsidRDefault="00C72DEE" w:rsidP="00C72DEE">
      <w:pPr>
        <w:pStyle w:val="ListParagraph"/>
        <w:tabs>
          <w:tab w:val="left" w:pos="5841"/>
        </w:tabs>
        <w:ind w:left="720"/>
      </w:pPr>
      <w:r w:rsidRPr="006A5083">
        <w:t>Adheres to and promotes the public</w:t>
      </w:r>
      <w:r>
        <w:t xml:space="preserve"> </w:t>
      </w:r>
      <w:r w:rsidRPr="006A5083">
        <w:t>sector values and Code of Conduct and acts with the upmost integrity and professionalism. Commits to</w:t>
      </w:r>
      <w:r>
        <w:t xml:space="preserve"> </w:t>
      </w:r>
      <w:r w:rsidRPr="006A5083">
        <w:t>achieving key outcomes for the organisation.</w:t>
      </w:r>
    </w:p>
    <w:p w14:paraId="4FEE1FAE" w14:textId="6E1C995C" w:rsidR="00C72DEE" w:rsidRPr="00C72DEE" w:rsidRDefault="00C72DEE" w:rsidP="00C72DEE">
      <w:pPr>
        <w:pStyle w:val="ListParagraph"/>
        <w:numPr>
          <w:ilvl w:val="0"/>
          <w:numId w:val="28"/>
        </w:numPr>
        <w:tabs>
          <w:tab w:val="left" w:pos="5841"/>
        </w:tabs>
      </w:pPr>
      <w:r w:rsidRPr="00C72DEE">
        <w:rPr>
          <w:b/>
          <w:bCs/>
        </w:rPr>
        <w:t>Communicates And Influences Effectively</w:t>
      </w:r>
    </w:p>
    <w:p w14:paraId="13214951" w14:textId="77777777" w:rsidR="00C72DEE" w:rsidRDefault="00C72DEE" w:rsidP="00C72DEE">
      <w:pPr>
        <w:pStyle w:val="ListParagraph"/>
        <w:spacing w:before="240"/>
        <w:ind w:left="720"/>
      </w:pPr>
      <w:r w:rsidRPr="00C72DEE">
        <w:t>Articulate a sound rationale and negotiating desired outcomes. Seeks to understand the audience and tailors’ communication style and message accordingly. Approaches negotiations with a strong grasp of key issues. Anticipates the position of the other party and is aware of the extent of potential for compromise.</w:t>
      </w:r>
    </w:p>
    <w:p w14:paraId="766EF24F" w14:textId="31674C40" w:rsidR="00C72DEE" w:rsidRPr="00C72DEE" w:rsidRDefault="00C72DEE" w:rsidP="00C72DEE">
      <w:pPr>
        <w:spacing w:before="240" w:line="240" w:lineRule="auto"/>
        <w:rPr>
          <w:rFonts w:eastAsiaTheme="majorEastAsia" w:cs="Times New Roman (Headings CS)"/>
          <w:b/>
          <w:color w:val="000000" w:themeColor="text1"/>
        </w:rPr>
      </w:pPr>
      <w:r w:rsidRPr="00C72DEE">
        <w:rPr>
          <w:rFonts w:eastAsiaTheme="majorEastAsia" w:cs="Times New Roman (Headings CS)"/>
          <w:b/>
          <w:color w:val="000000" w:themeColor="text1"/>
        </w:rPr>
        <w:t>Desirable</w:t>
      </w:r>
    </w:p>
    <w:p w14:paraId="3EFB3F9D" w14:textId="77777777" w:rsidR="00C72DEE" w:rsidRPr="004C4007" w:rsidRDefault="00C72DEE" w:rsidP="00C72DEE">
      <w:pPr>
        <w:tabs>
          <w:tab w:val="left" w:pos="5841"/>
        </w:tabs>
        <w:spacing w:after="0"/>
        <w:rPr>
          <w:rFonts w:cs="Calibri"/>
          <w:szCs w:val="22"/>
          <w14:ligatures w14:val="standardContextual"/>
        </w:rPr>
      </w:pPr>
      <w:r w:rsidRPr="004C4007">
        <w:rPr>
          <w:rFonts w:cs="Calibri"/>
          <w:szCs w:val="22"/>
          <w14:ligatures w14:val="standardContextual"/>
        </w:rPr>
        <w:t>• Possession of a relevant tertiary qualification.</w:t>
      </w:r>
    </w:p>
    <w:p w14:paraId="29CB924C" w14:textId="7B773320" w:rsidR="00C72DEE" w:rsidRDefault="00C72DEE" w:rsidP="00C72DEE">
      <w:pPr>
        <w:tabs>
          <w:tab w:val="left" w:pos="5841"/>
        </w:tabs>
        <w:spacing w:after="0"/>
        <w:rPr>
          <w:rFonts w:cs="Calibri"/>
          <w:szCs w:val="22"/>
          <w14:ligatures w14:val="standardContextual"/>
        </w:rPr>
      </w:pPr>
      <w:r w:rsidRPr="004C4007">
        <w:rPr>
          <w:rFonts w:cs="Calibri"/>
          <w:szCs w:val="22"/>
          <w14:ligatures w14:val="standardContextual"/>
        </w:rPr>
        <w:t>• Knowledge of Parliamentary, Cabinet and Executive Government processes.</w:t>
      </w:r>
    </w:p>
    <w:p w14:paraId="10573F8C" w14:textId="77777777" w:rsidR="00C72DEE" w:rsidRPr="00C72DEE" w:rsidRDefault="00C72DEE" w:rsidP="00C72DEE">
      <w:pPr>
        <w:tabs>
          <w:tab w:val="left" w:pos="5841"/>
        </w:tabs>
        <w:spacing w:after="0"/>
        <w:rPr>
          <w:rFonts w:cs="Calibri"/>
          <w:szCs w:val="22"/>
          <w14:ligatures w14:val="standardContextual"/>
        </w:rPr>
      </w:pPr>
    </w:p>
    <w:p w14:paraId="7204F3E3" w14:textId="3E59B92A" w:rsidR="00957200" w:rsidRPr="00343EA2" w:rsidRDefault="00957200" w:rsidP="00C72DEE">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0374" w14:textId="77777777" w:rsidR="000F2BA8" w:rsidRDefault="000F2BA8" w:rsidP="00756536">
      <w:pPr>
        <w:spacing w:after="0" w:line="240" w:lineRule="auto"/>
      </w:pPr>
      <w:r>
        <w:separator/>
      </w:r>
    </w:p>
  </w:endnote>
  <w:endnote w:type="continuationSeparator" w:id="0">
    <w:p w14:paraId="55E91FDB" w14:textId="77777777" w:rsidR="000F2BA8" w:rsidRDefault="000F2BA8"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4E39" w14:textId="77777777" w:rsidR="000F2BA8" w:rsidRDefault="000F2BA8" w:rsidP="00756536">
      <w:pPr>
        <w:spacing w:after="0" w:line="240" w:lineRule="auto"/>
      </w:pPr>
      <w:r>
        <w:separator/>
      </w:r>
    </w:p>
  </w:footnote>
  <w:footnote w:type="continuationSeparator" w:id="0">
    <w:p w14:paraId="4E75C3FB" w14:textId="77777777" w:rsidR="000F2BA8" w:rsidRDefault="000F2BA8"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66E4D42"/>
    <w:multiLevelType w:val="hybridMultilevel"/>
    <w:tmpl w:val="9CFE4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6" w15:restartNumberingAfterBreak="0">
    <w:nsid w:val="7B8501BC"/>
    <w:multiLevelType w:val="hybridMultilevel"/>
    <w:tmpl w:val="0D1401DA"/>
    <w:lvl w:ilvl="0" w:tplc="8CC4D9AE">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7"/>
  </w:num>
  <w:num w:numId="5" w16cid:durableId="165638337">
    <w:abstractNumId w:val="14"/>
  </w:num>
  <w:num w:numId="6" w16cid:durableId="1123695853">
    <w:abstractNumId w:val="13"/>
  </w:num>
  <w:num w:numId="7" w16cid:durableId="1581137968">
    <w:abstractNumId w:val="5"/>
  </w:num>
  <w:num w:numId="8" w16cid:durableId="210381380">
    <w:abstractNumId w:val="7"/>
  </w:num>
  <w:num w:numId="9" w16cid:durableId="1667249357">
    <w:abstractNumId w:val="25"/>
  </w:num>
  <w:num w:numId="10" w16cid:durableId="1636334645">
    <w:abstractNumId w:val="16"/>
  </w:num>
  <w:num w:numId="11" w16cid:durableId="1816409002">
    <w:abstractNumId w:val="11"/>
  </w:num>
  <w:num w:numId="12" w16cid:durableId="1771470451">
    <w:abstractNumId w:val="12"/>
  </w:num>
  <w:num w:numId="13" w16cid:durableId="2042582278">
    <w:abstractNumId w:val="24"/>
  </w:num>
  <w:num w:numId="14" w16cid:durableId="301085470">
    <w:abstractNumId w:val="18"/>
  </w:num>
  <w:num w:numId="15" w16cid:durableId="24185399">
    <w:abstractNumId w:val="2"/>
  </w:num>
  <w:num w:numId="16" w16cid:durableId="169490687">
    <w:abstractNumId w:val="15"/>
  </w:num>
  <w:num w:numId="17" w16cid:durableId="629700953">
    <w:abstractNumId w:val="1"/>
  </w:num>
  <w:num w:numId="18" w16cid:durableId="1341004227">
    <w:abstractNumId w:val="20"/>
  </w:num>
  <w:num w:numId="19" w16cid:durableId="1468815981">
    <w:abstractNumId w:val="19"/>
  </w:num>
  <w:num w:numId="20" w16cid:durableId="1483697836">
    <w:abstractNumId w:val="0"/>
  </w:num>
  <w:num w:numId="21" w16cid:durableId="1199708562">
    <w:abstractNumId w:val="3"/>
  </w:num>
  <w:num w:numId="22" w16cid:durableId="666324951">
    <w:abstractNumId w:val="10"/>
  </w:num>
  <w:num w:numId="23" w16cid:durableId="1153444563">
    <w:abstractNumId w:val="4"/>
  </w:num>
  <w:num w:numId="24" w16cid:durableId="1034843463">
    <w:abstractNumId w:val="21"/>
  </w:num>
  <w:num w:numId="25" w16cid:durableId="1168908575">
    <w:abstractNumId w:val="23"/>
  </w:num>
  <w:num w:numId="26" w16cid:durableId="673799948">
    <w:abstractNumId w:val="8"/>
  </w:num>
  <w:num w:numId="27" w16cid:durableId="248084103">
    <w:abstractNumId w:val="22"/>
  </w:num>
  <w:num w:numId="28" w16cid:durableId="6814696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F64E9"/>
    <w:rsid w:val="00300C8A"/>
    <w:rsid w:val="0030375D"/>
    <w:rsid w:val="0033476B"/>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7E95"/>
    <w:rsid w:val="004E000D"/>
    <w:rsid w:val="004E1073"/>
    <w:rsid w:val="004E2FC6"/>
    <w:rsid w:val="004F457E"/>
    <w:rsid w:val="0052152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4252E"/>
    <w:rsid w:val="008531F0"/>
    <w:rsid w:val="00854002"/>
    <w:rsid w:val="00892424"/>
    <w:rsid w:val="008947AE"/>
    <w:rsid w:val="00896221"/>
    <w:rsid w:val="008A3F8E"/>
    <w:rsid w:val="008E0484"/>
    <w:rsid w:val="008E36D7"/>
    <w:rsid w:val="009075E2"/>
    <w:rsid w:val="009514B1"/>
    <w:rsid w:val="009515A0"/>
    <w:rsid w:val="00954FA9"/>
    <w:rsid w:val="00957200"/>
    <w:rsid w:val="0095755A"/>
    <w:rsid w:val="00961CC9"/>
    <w:rsid w:val="009655C0"/>
    <w:rsid w:val="00971722"/>
    <w:rsid w:val="0099561F"/>
    <w:rsid w:val="009C0ED6"/>
    <w:rsid w:val="009D69D5"/>
    <w:rsid w:val="00A00DF9"/>
    <w:rsid w:val="00A2480E"/>
    <w:rsid w:val="00A254A1"/>
    <w:rsid w:val="00A274B9"/>
    <w:rsid w:val="00A40911"/>
    <w:rsid w:val="00A518E1"/>
    <w:rsid w:val="00A560CB"/>
    <w:rsid w:val="00A72186"/>
    <w:rsid w:val="00A86D4C"/>
    <w:rsid w:val="00A93FF1"/>
    <w:rsid w:val="00A972A4"/>
    <w:rsid w:val="00AA31C0"/>
    <w:rsid w:val="00AA416A"/>
    <w:rsid w:val="00AA4641"/>
    <w:rsid w:val="00AC584F"/>
    <w:rsid w:val="00AC73F2"/>
    <w:rsid w:val="00AE1B75"/>
    <w:rsid w:val="00AE4816"/>
    <w:rsid w:val="00AE5EBA"/>
    <w:rsid w:val="00B1554C"/>
    <w:rsid w:val="00B20A88"/>
    <w:rsid w:val="00B646FB"/>
    <w:rsid w:val="00B8027B"/>
    <w:rsid w:val="00B96037"/>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639AF"/>
    <w:rsid w:val="00C70D65"/>
    <w:rsid w:val="00C72DEE"/>
    <w:rsid w:val="00C86886"/>
    <w:rsid w:val="00CD00BF"/>
    <w:rsid w:val="00CD0B02"/>
    <w:rsid w:val="00CD3B25"/>
    <w:rsid w:val="00CF070B"/>
    <w:rsid w:val="00D007E3"/>
    <w:rsid w:val="00D16302"/>
    <w:rsid w:val="00D173A8"/>
    <w:rsid w:val="00D2368C"/>
    <w:rsid w:val="00D2665E"/>
    <w:rsid w:val="00D436A4"/>
    <w:rsid w:val="00D54C40"/>
    <w:rsid w:val="00D718AA"/>
    <w:rsid w:val="00D71E76"/>
    <w:rsid w:val="00D732A5"/>
    <w:rsid w:val="00D7570D"/>
    <w:rsid w:val="00D801DC"/>
    <w:rsid w:val="00DB08AF"/>
    <w:rsid w:val="00DF1A44"/>
    <w:rsid w:val="00DF4B7C"/>
    <w:rsid w:val="00DF7BA5"/>
    <w:rsid w:val="00E02BA3"/>
    <w:rsid w:val="00E14F0F"/>
    <w:rsid w:val="00E20BE0"/>
    <w:rsid w:val="00E23326"/>
    <w:rsid w:val="00E432A1"/>
    <w:rsid w:val="00E4641B"/>
    <w:rsid w:val="00E551B5"/>
    <w:rsid w:val="00E551E6"/>
    <w:rsid w:val="00E61CE6"/>
    <w:rsid w:val="00EA11AC"/>
    <w:rsid w:val="00EA5626"/>
    <w:rsid w:val="00EC7340"/>
    <w:rsid w:val="00ED18BE"/>
    <w:rsid w:val="00ED68B9"/>
    <w:rsid w:val="00ED7D74"/>
    <w:rsid w:val="00EE13A1"/>
    <w:rsid w:val="00EE3673"/>
    <w:rsid w:val="00EF2F5D"/>
    <w:rsid w:val="00F02587"/>
    <w:rsid w:val="00F156D2"/>
    <w:rsid w:val="00F167A5"/>
    <w:rsid w:val="00F51C71"/>
    <w:rsid w:val="00F61F47"/>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C7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lead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992</Words>
  <Characters>6088</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cp:revision>
  <cp:lastPrinted>2024-03-14T05:17:00Z</cp:lastPrinted>
  <dcterms:created xsi:type="dcterms:W3CDTF">2026-05-19T05:44:00Z</dcterms:created>
  <dcterms:modified xsi:type="dcterms:W3CDTF">2026-05-19T05:57:00Z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1271333749</vt:i4>
  </property>
  <property fmtid="{D5CDD505-2E9C-101B-9397-08002B2CF9AE}" pid="11" name="_NewReviewCycle">
    <vt:lpwstr/>
  </property>
  <property fmtid="{D5CDD505-2E9C-101B-9397-08002B2CF9AE}" pid="12" name="_EmailSubject">
    <vt:lpwstr>Approved JDF Template</vt:lpwstr>
  </property>
  <property fmtid="{D5CDD505-2E9C-101B-9397-08002B2CF9AE}" pid="13" name="_AuthorEmail">
    <vt:lpwstr>Shane.Pike@dpc.wa.gov.au</vt:lpwstr>
  </property>
  <property fmtid="{D5CDD505-2E9C-101B-9397-08002B2CF9AE}" pid="14" name="_AuthorEmailDisplayName">
    <vt:lpwstr>Pike, Shane</vt:lpwstr>
  </property>
  <property fmtid="{D5CDD505-2E9C-101B-9397-08002B2CF9AE}" pid="15" name="_ReviewingToolsShownOnce">
    <vt:lpwstr/>
  </property>
</Properties>
</file>