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380496A" w:rsidR="004A4EC3" w:rsidRPr="00C14680" w:rsidRDefault="0031678C" w:rsidP="00570BAB">
      <w:pPr>
        <w:spacing w:before="60" w:line="360" w:lineRule="auto"/>
        <w:jc w:val="both"/>
        <w:rPr>
          <w:rFonts w:eastAsiaTheme="majorEastAsia" w:cs="Times New Roman (Headings CS)"/>
          <w:b/>
          <w:color w:val="CC5733"/>
          <w:sz w:val="20"/>
          <w:szCs w:val="20"/>
        </w:rPr>
      </w:pPr>
      <w:r w:rsidRPr="0031678C">
        <w:rPr>
          <w:rFonts w:eastAsiaTheme="majorEastAsia" w:cs="Times New Roman (Headings CS)"/>
          <w:b/>
          <w:color w:val="CC5733"/>
          <w:sz w:val="30"/>
          <w:szCs w:val="30"/>
        </w:rPr>
        <w:t>Assistant Coordinator General –</w:t>
      </w:r>
      <w:r w:rsidR="00C13E6C">
        <w:rPr>
          <w:rFonts w:eastAsiaTheme="majorEastAsia" w:cs="Times New Roman (Headings CS)"/>
          <w:b/>
          <w:color w:val="CC5733"/>
          <w:sz w:val="30"/>
          <w:szCs w:val="30"/>
        </w:rPr>
        <w:t xml:space="preserve"> Class 3</w:t>
      </w:r>
      <w:r w:rsidRPr="0031678C">
        <w:rPr>
          <w:rFonts w:eastAsiaTheme="majorEastAsia" w:cs="Times New Roman (Headings CS)"/>
          <w:b/>
          <w:color w:val="CC5733"/>
          <w:sz w:val="30"/>
          <w:szCs w:val="30"/>
        </w:rPr>
        <w:t xml:space="preserve"> </w:t>
      </w:r>
      <w:r w:rsidR="007E0829">
        <w:rPr>
          <w:rFonts w:eastAsiaTheme="majorEastAsia" w:cs="Times New Roman (Headings CS)"/>
          <w:b/>
          <w:color w:val="CC5733"/>
          <w:sz w:val="30"/>
          <w:szCs w:val="30"/>
        </w:rPr>
        <w:t>(DPC</w:t>
      </w:r>
      <w:r w:rsidR="00C13E6C">
        <w:rPr>
          <w:rFonts w:eastAsiaTheme="majorEastAsia" w:cs="Times New Roman (Headings CS)"/>
          <w:b/>
          <w:color w:val="CC5733"/>
          <w:sz w:val="30"/>
          <w:szCs w:val="30"/>
        </w:rPr>
        <w:t>26104</w:t>
      </w:r>
      <w:r w:rsidR="007E0829">
        <w:rPr>
          <w:rFonts w:eastAsiaTheme="majorEastAsia" w:cs="Times New Roman (Headings CS)"/>
          <w:b/>
          <w:color w:val="CC5733"/>
          <w:sz w:val="30"/>
          <w:szCs w:val="3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962"/>
        <w:gridCol w:w="4247"/>
      </w:tblGrid>
      <w:tr w:rsidR="00C70D65" w:rsidRPr="00D007E3" w14:paraId="203B70C2" w14:textId="77777777" w:rsidTr="006D76C1">
        <w:trPr>
          <w:trHeight w:val="465"/>
        </w:trPr>
        <w:tc>
          <w:tcPr>
            <w:tcW w:w="4962" w:type="dxa"/>
            <w:vAlign w:val="center"/>
          </w:tcPr>
          <w:p w14:paraId="68AA88FF" w14:textId="7F251D84" w:rsidR="00C70D65" w:rsidRPr="002A3C71" w:rsidRDefault="00C70D65" w:rsidP="006D76C1">
            <w:pPr>
              <w:pStyle w:val="Formfields"/>
              <w:framePr w:hSpace="0" w:wrap="auto" w:vAnchor="margin" w:yAlign="inline"/>
              <w:suppressOverlap w:val="0"/>
              <w:rPr>
                <w:color w:val="auto"/>
              </w:rPr>
            </w:pPr>
            <w:r>
              <w:t>Division</w:t>
            </w:r>
            <w:r w:rsidRPr="00D007E3">
              <w:t>:</w:t>
            </w:r>
            <w:r w:rsidRPr="003E4522">
              <w:rPr>
                <w:color w:val="auto"/>
              </w:rPr>
              <w:t xml:space="preserve"> </w:t>
            </w:r>
            <w:r w:rsidR="0031678C" w:rsidRPr="0031678C">
              <w:rPr>
                <w:color w:val="auto"/>
                <w:lang w:val="en-AU"/>
              </w:rPr>
              <w:t>Office of the Coordinator General</w:t>
            </w:r>
          </w:p>
        </w:tc>
        <w:tc>
          <w:tcPr>
            <w:tcW w:w="4247" w:type="dxa"/>
            <w:vAlign w:val="center"/>
          </w:tcPr>
          <w:p w14:paraId="71568BBB" w14:textId="559AB255" w:rsidR="00C70D65" w:rsidRPr="002A3C71" w:rsidRDefault="00C70D65" w:rsidP="00570BAB">
            <w:pPr>
              <w:pStyle w:val="Formfields"/>
              <w:framePr w:hSpace="0" w:wrap="auto" w:vAnchor="margin" w:yAlign="inline"/>
              <w:suppressOverlap w:val="0"/>
              <w:jc w:val="both"/>
              <w:rPr>
                <w:color w:val="auto"/>
              </w:rPr>
            </w:pPr>
            <w:r w:rsidRPr="00D007E3">
              <w:t>Reports to:</w:t>
            </w:r>
            <w:r w:rsidRPr="003E4522">
              <w:rPr>
                <w:color w:val="auto"/>
              </w:rPr>
              <w:t xml:space="preserve"> </w:t>
            </w:r>
            <w:r w:rsidR="0031678C" w:rsidRPr="0031678C">
              <w:rPr>
                <w:color w:val="auto"/>
                <w:lang w:val="en-AU"/>
              </w:rPr>
              <w:t>Coordinator General</w:t>
            </w:r>
          </w:p>
        </w:tc>
      </w:tr>
      <w:tr w:rsidR="00C70D65" w:rsidRPr="00D007E3" w14:paraId="44646006" w14:textId="77777777" w:rsidTr="006D76C1">
        <w:trPr>
          <w:trHeight w:val="489"/>
        </w:trPr>
        <w:tc>
          <w:tcPr>
            <w:tcW w:w="4962" w:type="dxa"/>
            <w:vAlign w:val="center"/>
          </w:tcPr>
          <w:p w14:paraId="236184A4" w14:textId="5DA83A4E" w:rsidR="00C70D65" w:rsidRPr="002A3C71" w:rsidRDefault="00C70D65" w:rsidP="00570BAB">
            <w:pPr>
              <w:pStyle w:val="Formfields"/>
              <w:framePr w:hSpace="0" w:wrap="auto" w:vAnchor="margin" w:yAlign="inline"/>
              <w:suppressOverlap w:val="0"/>
              <w:jc w:val="both"/>
              <w:rPr>
                <w:color w:val="auto"/>
              </w:rPr>
            </w:pPr>
            <w:r>
              <w:t xml:space="preserve">Directorate </w:t>
            </w:r>
            <w:r w:rsidRPr="0061254A">
              <w:t>Branch:</w:t>
            </w:r>
            <w:r w:rsidR="00C13E6C">
              <w:t xml:space="preserve"> </w:t>
            </w:r>
            <w:r w:rsidR="00C13E6C" w:rsidRPr="00C13E6C">
              <w:rPr>
                <w:color w:val="auto"/>
              </w:rPr>
              <w:t>Priority Projects</w:t>
            </w:r>
          </w:p>
        </w:tc>
        <w:tc>
          <w:tcPr>
            <w:tcW w:w="4247" w:type="dxa"/>
            <w:vAlign w:val="center"/>
          </w:tcPr>
          <w:p w14:paraId="6F2A49F6" w14:textId="77777777" w:rsidR="00C70D65" w:rsidRPr="00D007E3" w:rsidRDefault="00C70D65" w:rsidP="00570BAB">
            <w:pPr>
              <w:pStyle w:val="Formfields"/>
              <w:framePr w:hSpace="0" w:wrap="auto" w:vAnchor="margin" w:yAlign="inline"/>
              <w:suppressOverlap w:val="0"/>
              <w:jc w:val="both"/>
            </w:pPr>
            <w:r w:rsidRPr="00D007E3">
              <w:t>Supervises</w:t>
            </w:r>
            <w:r w:rsidRPr="0061254A">
              <w:t>:</w:t>
            </w:r>
            <w:r w:rsidRPr="003E4522">
              <w:rPr>
                <w:color w:val="auto"/>
              </w:rPr>
              <w:t xml:space="preserve"> </w:t>
            </w:r>
            <w:r>
              <w:rPr>
                <w:color w:val="auto"/>
              </w:rPr>
              <w:t>0</w:t>
            </w:r>
          </w:p>
        </w:tc>
      </w:tr>
      <w:tr w:rsidR="00C70D65" w:rsidRPr="00D007E3" w14:paraId="2D9EFB73" w14:textId="77777777" w:rsidTr="006D76C1">
        <w:trPr>
          <w:trHeight w:val="465"/>
        </w:trPr>
        <w:tc>
          <w:tcPr>
            <w:tcW w:w="4962" w:type="dxa"/>
          </w:tcPr>
          <w:p w14:paraId="59C4912F" w14:textId="77777777" w:rsidR="00C70D65" w:rsidRDefault="00C70D65" w:rsidP="00570BAB">
            <w:pPr>
              <w:pStyle w:val="Formfields"/>
              <w:framePr w:hSpace="0" w:wrap="auto" w:vAnchor="margin" w:yAlign="inline"/>
              <w:suppressOverlap w:val="0"/>
              <w:jc w:val="both"/>
            </w:pPr>
            <w:r w:rsidRPr="006A7C8E">
              <w:t>Location</w:t>
            </w:r>
            <w:r>
              <w:t xml:space="preserve">: </w:t>
            </w:r>
            <w:r w:rsidRPr="00591163">
              <w:rPr>
                <w:color w:val="auto"/>
              </w:rPr>
              <w:t>West Perth</w:t>
            </w:r>
          </w:p>
        </w:tc>
        <w:tc>
          <w:tcPr>
            <w:tcW w:w="4247" w:type="dxa"/>
          </w:tcPr>
          <w:p w14:paraId="65028B18" w14:textId="0855965B" w:rsidR="00C70D65" w:rsidRPr="00D007E3" w:rsidRDefault="00C70D65" w:rsidP="00570BAB">
            <w:pPr>
              <w:pStyle w:val="Formfields"/>
              <w:framePr w:hSpace="0" w:wrap="auto" w:vAnchor="margin" w:yAlign="inline"/>
              <w:suppressOverlap w:val="0"/>
              <w:jc w:val="both"/>
            </w:pPr>
            <w:r w:rsidRPr="006A7C8E">
              <w:t>OSCA Code:</w:t>
            </w:r>
          </w:p>
        </w:tc>
      </w:tr>
    </w:tbl>
    <w:p w14:paraId="0659CC79" w14:textId="5A0A0325" w:rsidR="00756536" w:rsidRPr="00F80DEC" w:rsidRDefault="004A4EC3" w:rsidP="00570BAB">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570BAB">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570BAB">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570BAB">
      <w:pPr>
        <w:spacing w:before="240" w:line="240" w:lineRule="auto"/>
        <w:jc w:val="both"/>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570BAB">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570BAB">
      <w:pPr>
        <w:jc w:val="both"/>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781BDF17" w14:textId="77777777" w:rsidR="0031678C" w:rsidRDefault="0031678C" w:rsidP="00570BAB">
      <w:pPr>
        <w:spacing w:after="0" w:line="240" w:lineRule="auto"/>
        <w:jc w:val="both"/>
      </w:pPr>
      <w:r w:rsidRPr="00BA3DA4">
        <w:t xml:space="preserve">The Office of the Coordinator General (OCG) works to support Western Australia's ambitious energy transition, decarbonisation and economic diversification goals. With a focus on industrial land activation and facilitation of major job-creating projects and precincts, the Coordinator General will support the State to rapidly pursue opportunities and grow the State's competitive advantage to ensure Western Australia remains a great place to invest. </w:t>
      </w:r>
    </w:p>
    <w:p w14:paraId="72CD292E" w14:textId="77777777" w:rsidR="00987A78" w:rsidRPr="00BA3DA4" w:rsidRDefault="00987A78" w:rsidP="00570BAB">
      <w:pPr>
        <w:spacing w:after="0" w:line="240" w:lineRule="auto"/>
        <w:jc w:val="both"/>
      </w:pPr>
    </w:p>
    <w:p w14:paraId="604A6752" w14:textId="77777777" w:rsidR="0031678C" w:rsidRDefault="0031678C" w:rsidP="00570BAB">
      <w:pPr>
        <w:jc w:val="both"/>
      </w:pPr>
      <w:r>
        <w:t xml:space="preserve">Established under the </w:t>
      </w:r>
      <w:r w:rsidRPr="006A5EA3">
        <w:rPr>
          <w:i/>
          <w:iCs/>
        </w:rPr>
        <w:t>State Development Act 2025</w:t>
      </w:r>
      <w:r>
        <w:t>, the Coordinator General operates as an independent statutory office holder, responsible for determining how regulatory, planning and approval systems are coordinated and reconciled in practice.</w:t>
      </w:r>
    </w:p>
    <w:p w14:paraId="7D1D0209" w14:textId="1F4C516B" w:rsidR="00477E21" w:rsidRPr="00D16302" w:rsidRDefault="00A00DF9" w:rsidP="00570BAB">
      <w:pPr>
        <w:jc w:val="both"/>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1D1C60">
        <w:rPr>
          <w:rFonts w:eastAsiaTheme="majorEastAsia" w:cs="Times New Roman (Headings CS)"/>
          <w:b/>
          <w:color w:val="CC5733"/>
        </w:rPr>
        <w:t>(Position)</w:t>
      </w:r>
    </w:p>
    <w:p w14:paraId="63AFA43F" w14:textId="77777777" w:rsidR="0031678C" w:rsidRDefault="0031678C" w:rsidP="00570BAB">
      <w:pPr>
        <w:jc w:val="both"/>
      </w:pPr>
      <w:r>
        <w:t xml:space="preserve">The Assistant Coordinator General, Priority Projects is a senior executive role operating under delegation from the Coordinator General. The role is responsible for the active coordination, facilitation and escalation of designated Priority Projects under the </w:t>
      </w:r>
      <w:r w:rsidRPr="004F28F5">
        <w:rPr>
          <w:i/>
          <w:iCs/>
        </w:rPr>
        <w:t>State Development Act 2025</w:t>
      </w:r>
      <w:r>
        <w:t xml:space="preserve">. </w:t>
      </w:r>
    </w:p>
    <w:p w14:paraId="643CE252" w14:textId="12AD4696" w:rsidR="0031678C" w:rsidRDefault="0031678C" w:rsidP="00570BAB">
      <w:pPr>
        <w:spacing w:after="0"/>
        <w:jc w:val="both"/>
      </w:pPr>
      <w:r>
        <w:t>The role does not sponsor or manage projects on behalf of proponents, nor does it replace the statutory responsibilities of regulators. Instead, it operates as a delegated system-</w:t>
      </w:r>
      <w:r>
        <w:lastRenderedPageBreak/>
        <w:t xml:space="preserve">coordination role, resolving </w:t>
      </w:r>
      <w:r w:rsidR="006F2E70">
        <w:t xml:space="preserve">complex </w:t>
      </w:r>
      <w:r>
        <w:t>inter-agency issues and ensuring regulatory and approval pathways progress in a timely, coordinated and transparent manner.</w:t>
      </w:r>
    </w:p>
    <w:p w14:paraId="6FFE76F2" w14:textId="77777777" w:rsidR="001D1C60" w:rsidRDefault="001D1C60" w:rsidP="00570BAB">
      <w:pPr>
        <w:spacing w:after="0"/>
        <w:jc w:val="both"/>
      </w:pPr>
    </w:p>
    <w:p w14:paraId="21063583" w14:textId="034F5E20" w:rsidR="001D1C60" w:rsidRDefault="001D1C60" w:rsidP="00570BAB">
      <w:pPr>
        <w:spacing w:after="0"/>
        <w:jc w:val="both"/>
      </w:pPr>
      <w:r w:rsidRPr="00D16302">
        <w:rPr>
          <w:rFonts w:eastAsiaTheme="majorEastAsia" w:cs="Times New Roman (Headings CS)"/>
          <w:b/>
          <w:color w:val="CC5733"/>
        </w:rPr>
        <w:t>R</w:t>
      </w:r>
      <w:r>
        <w:rPr>
          <w:rFonts w:eastAsiaTheme="majorEastAsia" w:cs="Times New Roman (Headings CS)"/>
          <w:b/>
          <w:color w:val="CC5733"/>
        </w:rPr>
        <w:t>esponsibilities</w:t>
      </w:r>
    </w:p>
    <w:p w14:paraId="0849F8D9" w14:textId="77777777" w:rsidR="0031678C" w:rsidRDefault="0031678C" w:rsidP="00570BAB">
      <w:pPr>
        <w:spacing w:after="0"/>
        <w:jc w:val="both"/>
      </w:pPr>
    </w:p>
    <w:p w14:paraId="208AE0F1" w14:textId="77777777" w:rsidR="0031678C" w:rsidRDefault="0031678C" w:rsidP="00570BAB">
      <w:pPr>
        <w:pStyle w:val="ListParagraph"/>
        <w:numPr>
          <w:ilvl w:val="0"/>
          <w:numId w:val="27"/>
        </w:numPr>
        <w:spacing w:after="180"/>
        <w:ind w:left="284" w:hanging="284"/>
        <w:jc w:val="both"/>
      </w:pPr>
      <w:r>
        <w:t xml:space="preserve">Exercises delegated authority under the </w:t>
      </w:r>
      <w:r w:rsidRPr="004F28F5">
        <w:rPr>
          <w:i/>
          <w:iCs/>
        </w:rPr>
        <w:t>State Development Act 2025</w:t>
      </w:r>
      <w:r>
        <w:t xml:space="preserve"> to coordinate regulatory and approval pathways for Priority Projects.</w:t>
      </w:r>
    </w:p>
    <w:p w14:paraId="0AE44184" w14:textId="77777777" w:rsidR="0031678C" w:rsidRDefault="0031678C" w:rsidP="00570BAB">
      <w:pPr>
        <w:pStyle w:val="ListParagraph"/>
        <w:numPr>
          <w:ilvl w:val="0"/>
          <w:numId w:val="27"/>
        </w:numPr>
        <w:spacing w:after="180"/>
        <w:ind w:left="284" w:hanging="284"/>
        <w:jc w:val="both"/>
      </w:pPr>
      <w:r>
        <w:t>Leads multi-agency case management for complex, high-risk projects of State significance.</w:t>
      </w:r>
    </w:p>
    <w:p w14:paraId="71B20EC3" w14:textId="77777777" w:rsidR="0031678C" w:rsidRPr="00A64040" w:rsidRDefault="0031678C" w:rsidP="00570BAB">
      <w:pPr>
        <w:pStyle w:val="ListParagraph"/>
        <w:numPr>
          <w:ilvl w:val="0"/>
          <w:numId w:val="27"/>
        </w:numPr>
        <w:spacing w:after="180"/>
        <w:ind w:left="284" w:hanging="284"/>
        <w:jc w:val="both"/>
      </w:pPr>
      <w:r>
        <w:t>Resolves inter-agency conflicts, delays and sequencing issues through structured coordination and escalation.</w:t>
      </w:r>
    </w:p>
    <w:p w14:paraId="56ED3651" w14:textId="149917C5" w:rsidR="0031678C" w:rsidRDefault="0031678C" w:rsidP="00570BAB">
      <w:pPr>
        <w:pStyle w:val="ListParagraph"/>
        <w:numPr>
          <w:ilvl w:val="0"/>
          <w:numId w:val="27"/>
        </w:numPr>
        <w:spacing w:after="180"/>
        <w:ind w:left="284" w:hanging="284"/>
        <w:jc w:val="both"/>
      </w:pPr>
      <w:r>
        <w:t>Identifies matters requiring statutory intervention and escalate</w:t>
      </w:r>
      <w:r w:rsidR="00B175EC">
        <w:t>s</w:t>
      </w:r>
      <w:r>
        <w:t xml:space="preserve"> to the Coordinator General as appropriate.</w:t>
      </w:r>
    </w:p>
    <w:p w14:paraId="6549956B" w14:textId="5031A460" w:rsidR="0031678C" w:rsidRDefault="0031678C" w:rsidP="00570BAB">
      <w:pPr>
        <w:pStyle w:val="ListParagraph"/>
        <w:numPr>
          <w:ilvl w:val="0"/>
          <w:numId w:val="27"/>
        </w:numPr>
        <w:spacing w:after="180"/>
        <w:ind w:left="284" w:hanging="284"/>
        <w:jc w:val="both"/>
      </w:pPr>
      <w:r>
        <w:t>Leads teams to solve complex problems, steer cross-government collaboration and provide high-level advice to Government to ensure the timely and effective delivery of large-scale, State</w:t>
      </w:r>
      <w:r w:rsidR="0035140B">
        <w:t>-</w:t>
      </w:r>
      <w:r>
        <w:t>significant projects.</w:t>
      </w:r>
    </w:p>
    <w:p w14:paraId="52F61B76" w14:textId="77777777" w:rsidR="0031678C" w:rsidRDefault="0031678C" w:rsidP="00570BAB">
      <w:pPr>
        <w:pStyle w:val="ListParagraph"/>
        <w:numPr>
          <w:ilvl w:val="0"/>
          <w:numId w:val="27"/>
        </w:numPr>
        <w:spacing w:after="180"/>
        <w:ind w:left="284" w:hanging="284"/>
        <w:jc w:val="both"/>
      </w:pPr>
      <w:r w:rsidRPr="004F28F5">
        <w:t>Prepare</w:t>
      </w:r>
      <w:r>
        <w:t>s</w:t>
      </w:r>
      <w:r w:rsidRPr="004F28F5">
        <w:t xml:space="preserve"> briefs and recommendations for the Coordinator General on Priority Project matters requiring Ministerial or Cabinet consideration.</w:t>
      </w:r>
    </w:p>
    <w:p w14:paraId="468865CB" w14:textId="77777777" w:rsidR="0031678C" w:rsidRDefault="0031678C" w:rsidP="00570BAB">
      <w:pPr>
        <w:pStyle w:val="ListParagraph"/>
        <w:numPr>
          <w:ilvl w:val="0"/>
          <w:numId w:val="27"/>
        </w:numPr>
        <w:spacing w:after="180"/>
        <w:ind w:left="284" w:hanging="284"/>
        <w:jc w:val="both"/>
      </w:pPr>
      <w:r>
        <w:t>Supports the Coordinator General in providing advice to Ministers and Cabinet on regulatory coordination, project risks and delivery options.</w:t>
      </w:r>
    </w:p>
    <w:p w14:paraId="79B5F41C" w14:textId="77777777" w:rsidR="0031678C" w:rsidRDefault="0031678C" w:rsidP="00570BAB">
      <w:pPr>
        <w:pStyle w:val="ListParagraph"/>
        <w:numPr>
          <w:ilvl w:val="0"/>
          <w:numId w:val="27"/>
        </w:numPr>
        <w:spacing w:after="180"/>
        <w:ind w:left="284" w:hanging="284"/>
        <w:jc w:val="both"/>
      </w:pPr>
      <w:r>
        <w:t>Represents the Coordinator General in senior inter-agency and industry forums as delegated.</w:t>
      </w:r>
    </w:p>
    <w:p w14:paraId="5462CE6E" w14:textId="77777777" w:rsidR="0031678C" w:rsidRPr="004F28F5" w:rsidRDefault="0031678C" w:rsidP="00570BAB">
      <w:pPr>
        <w:pStyle w:val="ListParagraph"/>
        <w:numPr>
          <w:ilvl w:val="0"/>
          <w:numId w:val="27"/>
        </w:numPr>
        <w:spacing w:after="180"/>
        <w:ind w:left="284" w:hanging="284"/>
        <w:jc w:val="both"/>
      </w:pPr>
      <w:r w:rsidRPr="004F28F5">
        <w:t>Coordinate</w:t>
      </w:r>
      <w:r>
        <w:t>s</w:t>
      </w:r>
      <w:r w:rsidRPr="004F28F5">
        <w:t xml:space="preserve"> infrastructure, utility and servicing arrangements with government trading enterprises and relevant agencies.</w:t>
      </w:r>
    </w:p>
    <w:p w14:paraId="6D964054" w14:textId="77777777" w:rsidR="0031678C" w:rsidRDefault="0031678C" w:rsidP="00570BAB">
      <w:pPr>
        <w:pStyle w:val="ListParagraph"/>
        <w:numPr>
          <w:ilvl w:val="0"/>
          <w:numId w:val="27"/>
        </w:numPr>
        <w:spacing w:after="180"/>
        <w:ind w:left="284" w:hanging="284"/>
        <w:jc w:val="both"/>
      </w:pPr>
      <w:r>
        <w:t>Engages in high level negotiations across a range of sectors with a range of stakeholders, balancing industry needs, government objectives and public expectations.</w:t>
      </w:r>
    </w:p>
    <w:p w14:paraId="382EC5B6" w14:textId="77777777" w:rsidR="0031678C" w:rsidRDefault="0031678C" w:rsidP="00570BAB">
      <w:pPr>
        <w:pStyle w:val="ListParagraph"/>
        <w:numPr>
          <w:ilvl w:val="0"/>
          <w:numId w:val="27"/>
        </w:numPr>
        <w:spacing w:after="180"/>
        <w:ind w:left="284" w:hanging="284"/>
        <w:jc w:val="both"/>
      </w:pPr>
      <w:r w:rsidRPr="004F28F5">
        <w:t>Engage</w:t>
      </w:r>
      <w:r>
        <w:t>s</w:t>
      </w:r>
      <w:r w:rsidRPr="004F28F5">
        <w:t xml:space="preserve"> directly with project proponents to identify regulatory, infrastructure and delivery risks.</w:t>
      </w:r>
    </w:p>
    <w:p w14:paraId="75639FDF" w14:textId="77777777" w:rsidR="0031678C" w:rsidRDefault="0031678C" w:rsidP="00570BAB">
      <w:pPr>
        <w:pStyle w:val="ListParagraph"/>
        <w:numPr>
          <w:ilvl w:val="0"/>
          <w:numId w:val="27"/>
        </w:numPr>
        <w:spacing w:after="180"/>
        <w:ind w:left="284" w:hanging="284"/>
        <w:jc w:val="both"/>
      </w:pPr>
      <w:r w:rsidRPr="001A7871">
        <w:t>Lead</w:t>
      </w:r>
      <w:r>
        <w:t>s</w:t>
      </w:r>
      <w:r w:rsidRPr="001A7871">
        <w:t xml:space="preserve"> engagement with </w:t>
      </w:r>
      <w:r>
        <w:t xml:space="preserve">all levels of government, </w:t>
      </w:r>
      <w:r w:rsidRPr="001A7871">
        <w:t xml:space="preserve">Traditional Owner groups, </w:t>
      </w:r>
      <w:r>
        <w:t>other non-Government organisations</w:t>
      </w:r>
      <w:r w:rsidRPr="001A7871">
        <w:t>, communities and industry stakeholders.</w:t>
      </w:r>
    </w:p>
    <w:p w14:paraId="556D22A8" w14:textId="2FF746D1" w:rsidR="0031678C" w:rsidRPr="0031678C" w:rsidRDefault="0031678C" w:rsidP="00570BAB">
      <w:pPr>
        <w:pStyle w:val="ListParagraph"/>
        <w:numPr>
          <w:ilvl w:val="0"/>
          <w:numId w:val="27"/>
        </w:numPr>
        <w:spacing w:after="180"/>
        <w:ind w:left="284" w:hanging="284"/>
        <w:jc w:val="both"/>
      </w:pPr>
      <w:r w:rsidRPr="001A7871">
        <w:t>Build</w:t>
      </w:r>
      <w:r>
        <w:t>s</w:t>
      </w:r>
      <w:r w:rsidRPr="001A7871">
        <w:t xml:space="preserve"> collaborative relationships to support lawful, transparent and durable </w:t>
      </w:r>
      <w:r>
        <w:t>Priority Project</w:t>
      </w:r>
      <w:r w:rsidRPr="001A7871">
        <w:t xml:space="preserve"> outcomes.</w:t>
      </w:r>
    </w:p>
    <w:p w14:paraId="32AF7670" w14:textId="45B3F30E" w:rsidR="00756536" w:rsidRPr="00C42E57" w:rsidRDefault="001D1C60" w:rsidP="00570BAB">
      <w:pPr>
        <w:spacing w:before="240" w:line="240" w:lineRule="auto"/>
        <w:jc w:val="both"/>
        <w:rPr>
          <w:rFonts w:eastAsiaTheme="majorEastAsia" w:cs="Times New Roman (Headings CS)"/>
          <w:b/>
          <w:color w:val="CC5733"/>
        </w:rPr>
      </w:pPr>
      <w:r>
        <w:rPr>
          <w:rFonts w:eastAsiaTheme="majorEastAsia" w:cs="Times New Roman (Headings CS)"/>
          <w:b/>
          <w:color w:val="CC5733"/>
        </w:rPr>
        <w:t xml:space="preserve">Corporate </w:t>
      </w:r>
      <w:r w:rsidR="00756536" w:rsidRPr="00C42E57">
        <w:rPr>
          <w:rFonts w:eastAsiaTheme="majorEastAsia" w:cs="Times New Roman (Headings CS)"/>
          <w:b/>
          <w:color w:val="CC5733"/>
        </w:rPr>
        <w:t>Responsibilities</w:t>
      </w:r>
    </w:p>
    <w:p w14:paraId="2C021AC5" w14:textId="77777777" w:rsidR="00F167A5" w:rsidRPr="00796E74" w:rsidRDefault="00F167A5" w:rsidP="00570BAB">
      <w:pPr>
        <w:pStyle w:val="ListParagraph"/>
        <w:numPr>
          <w:ilvl w:val="0"/>
          <w:numId w:val="18"/>
        </w:numPr>
        <w:ind w:left="360" w:hanging="360"/>
        <w:jc w:val="both"/>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570BAB">
      <w:pPr>
        <w:pStyle w:val="ListParagraph"/>
        <w:numPr>
          <w:ilvl w:val="0"/>
          <w:numId w:val="18"/>
        </w:numPr>
        <w:ind w:left="360" w:hanging="360"/>
        <w:jc w:val="both"/>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5A012A99" w14:textId="76C74E72" w:rsidR="00A64040" w:rsidRDefault="00F167A5" w:rsidP="00570BAB">
      <w:pPr>
        <w:pStyle w:val="ListParagraph"/>
        <w:numPr>
          <w:ilvl w:val="0"/>
          <w:numId w:val="18"/>
        </w:numPr>
        <w:ind w:left="360" w:hanging="360"/>
        <w:jc w:val="both"/>
        <w:rPr>
          <w:color w:val="auto"/>
          <w:szCs w:val="24"/>
        </w:rPr>
      </w:pPr>
      <w:r w:rsidRPr="0098212A">
        <w:rPr>
          <w:color w:val="auto"/>
          <w:szCs w:val="24"/>
        </w:rPr>
        <w:t>Undertakes other duties as required.</w:t>
      </w:r>
    </w:p>
    <w:p w14:paraId="061FB41E" w14:textId="77777777" w:rsidR="00A64040" w:rsidRPr="00A64040" w:rsidRDefault="00A64040" w:rsidP="00570BAB">
      <w:pPr>
        <w:pStyle w:val="ListParagraph"/>
        <w:ind w:left="360"/>
        <w:jc w:val="both"/>
        <w:rPr>
          <w:color w:val="auto"/>
          <w:szCs w:val="24"/>
        </w:rPr>
      </w:pPr>
    </w:p>
    <w:p w14:paraId="7E03F572" w14:textId="522F4435" w:rsidR="00C42E57" w:rsidRPr="00C42E57" w:rsidRDefault="00C42E57" w:rsidP="00570BAB">
      <w:pPr>
        <w:spacing w:before="240" w:line="240" w:lineRule="auto"/>
        <w:jc w:val="both"/>
        <w:rPr>
          <w:rFonts w:eastAsiaTheme="majorEastAsia" w:cs="Times New Roman (Headings CS)"/>
          <w:b/>
          <w:color w:val="CC5733"/>
        </w:rPr>
      </w:pPr>
      <w:r w:rsidRPr="00C42E57">
        <w:rPr>
          <w:rFonts w:eastAsiaTheme="majorEastAsia" w:cs="Times New Roman (Headings CS)"/>
          <w:b/>
          <w:color w:val="CC5733"/>
        </w:rPr>
        <w:t>Building Leadership Impact</w:t>
      </w:r>
    </w:p>
    <w:p w14:paraId="4A670FC0" w14:textId="77777777" w:rsidR="0031678C" w:rsidRPr="0031678C" w:rsidRDefault="0031678C" w:rsidP="00570BAB">
      <w:pPr>
        <w:spacing w:before="240" w:line="240" w:lineRule="auto"/>
        <w:jc w:val="both"/>
      </w:pPr>
      <w:r w:rsidRPr="0031678C">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1" w:history="1">
        <w:r w:rsidRPr="0031678C">
          <w:rPr>
            <w:rStyle w:val="Hyperlink"/>
          </w:rPr>
          <w:t>Building Leadership Impact</w:t>
        </w:r>
      </w:hyperlink>
      <w:r w:rsidRPr="0031678C">
        <w:t xml:space="preserve"> and described fully in </w:t>
      </w:r>
      <w:hyperlink r:id="rId12" w:history="1">
        <w:r w:rsidRPr="0031678C">
          <w:rPr>
            <w:rStyle w:val="Hyperlink"/>
          </w:rPr>
          <w:t>Leadership Expectations</w:t>
        </w:r>
      </w:hyperlink>
      <w:r w:rsidRPr="0031678C">
        <w:t xml:space="preserve">. </w:t>
      </w:r>
      <w:r w:rsidRPr="0031678C">
        <w:rPr>
          <w:lang w:val="en-US"/>
        </w:rPr>
        <w:t xml:space="preserve">The expected </w:t>
      </w:r>
      <w:proofErr w:type="spellStart"/>
      <w:r w:rsidRPr="0031678C">
        <w:rPr>
          <w:lang w:val="en-US"/>
        </w:rPr>
        <w:t>behaviours</w:t>
      </w:r>
      <w:proofErr w:type="spellEnd"/>
      <w:r w:rsidRPr="0031678C">
        <w:rPr>
          <w:lang w:val="en-US"/>
        </w:rPr>
        <w:t xml:space="preserve"> (see below) should be</w:t>
      </w:r>
      <w:r w:rsidRPr="0031678C">
        <w:t xml:space="preserve"> demonstrated in the context of </w:t>
      </w:r>
      <w:hyperlink r:id="rId13" w:history="1">
        <w:r w:rsidRPr="0031678C">
          <w:rPr>
            <w:rStyle w:val="Hyperlink"/>
          </w:rPr>
          <w:t>Executive Leader</w:t>
        </w:r>
      </w:hyperlink>
      <w:r w:rsidRPr="0031678C">
        <w:t xml:space="preserve"> for this position. </w:t>
      </w:r>
    </w:p>
    <w:p w14:paraId="6ED42638" w14:textId="418CEC46" w:rsidR="0031678C" w:rsidRPr="006D76C1" w:rsidRDefault="0031678C" w:rsidP="007E0829">
      <w:pPr>
        <w:spacing w:after="80" w:line="240" w:lineRule="auto"/>
        <w:jc w:val="both"/>
      </w:pPr>
      <w:r w:rsidRPr="006D76C1">
        <w:rPr>
          <w:rFonts w:eastAsiaTheme="majorEastAsia" w:cs="Times New Roman (Headings CS)"/>
          <w:b/>
        </w:rPr>
        <w:t>Lead collectively</w:t>
      </w:r>
    </w:p>
    <w:p w14:paraId="5BCB1AA4" w14:textId="77777777" w:rsidR="0031678C" w:rsidRPr="0031678C" w:rsidRDefault="0031678C" w:rsidP="00570BAB">
      <w:pPr>
        <w:spacing w:line="240" w:lineRule="auto"/>
        <w:jc w:val="both"/>
      </w:pPr>
      <w:r w:rsidRPr="0031678C">
        <w:t>You identify, synthesise, translate, and articulate the interrelationships and connections between the work of multiple agencies, regulators and stakeholders, and encourage your leaders to do the same. You address matters that are both internal and external to your organisation and continually identify the impacts and consequences of coordination decisions on the broader sector. You meaningfully shape and inform decisions that support State-significant outcomes over the short and medium terms.</w:t>
      </w:r>
    </w:p>
    <w:p w14:paraId="033BFE84" w14:textId="4A1E5651" w:rsidR="0031678C" w:rsidRPr="006D76C1" w:rsidRDefault="0031678C" w:rsidP="007E0829">
      <w:pPr>
        <w:spacing w:after="80" w:line="240" w:lineRule="auto"/>
        <w:jc w:val="both"/>
      </w:pPr>
      <w:r w:rsidRPr="006D76C1">
        <w:rPr>
          <w:rFonts w:eastAsiaTheme="majorEastAsia" w:cs="Times New Roman (Headings CS)"/>
          <w:b/>
        </w:rPr>
        <w:t>Think Through Complexity</w:t>
      </w:r>
    </w:p>
    <w:p w14:paraId="7566A5AC" w14:textId="77777777" w:rsidR="0031678C" w:rsidRPr="0031678C" w:rsidRDefault="0031678C" w:rsidP="00570BAB">
      <w:pPr>
        <w:spacing w:line="240" w:lineRule="auto"/>
        <w:jc w:val="both"/>
      </w:pPr>
      <w:r w:rsidRPr="0031678C">
        <w:t>You take decisive action in the face of uncertainty within complex regulatory, planning and delivery environments. You think logically about the short-, medium-, and long-term variables that impact Priority Projects or State Development Areas. You identify practical solutions to complex issues while considering whole-of-government implications and the need for escalation where statutory intervention may be required.</w:t>
      </w:r>
    </w:p>
    <w:p w14:paraId="06906581" w14:textId="1ACBC42E" w:rsidR="0031678C" w:rsidRPr="006D76C1" w:rsidRDefault="0031678C" w:rsidP="007E0829">
      <w:pPr>
        <w:spacing w:after="80" w:line="240" w:lineRule="auto"/>
        <w:jc w:val="both"/>
      </w:pPr>
      <w:r w:rsidRPr="006D76C1">
        <w:rPr>
          <w:rFonts w:eastAsiaTheme="majorEastAsia" w:cs="Times New Roman (Headings CS)"/>
          <w:b/>
        </w:rPr>
        <w:t>Dynamically Sense the Environment</w:t>
      </w:r>
    </w:p>
    <w:p w14:paraId="47A2885C" w14:textId="38649AB8" w:rsidR="0031678C" w:rsidRPr="0031678C" w:rsidRDefault="0031678C" w:rsidP="00570BAB">
      <w:pPr>
        <w:spacing w:line="240" w:lineRule="auto"/>
        <w:jc w:val="both"/>
      </w:pPr>
      <w:r w:rsidRPr="0031678C">
        <w:t>You leverage your understanding of the social, political and economic environment to support effective coordination and timely decision-making. You proactively manage the risk of reactive responses across agencies and identify emerging trends - locally and internationally - that may impact delivery, investment or stakeholder confidence.</w:t>
      </w:r>
    </w:p>
    <w:p w14:paraId="41561168" w14:textId="3C6EC736" w:rsidR="0031678C" w:rsidRPr="006D76C1" w:rsidRDefault="0031678C" w:rsidP="007E0829">
      <w:pPr>
        <w:spacing w:after="80" w:line="240" w:lineRule="auto"/>
        <w:jc w:val="both"/>
      </w:pPr>
      <w:r w:rsidRPr="006D76C1">
        <w:rPr>
          <w:rFonts w:eastAsiaTheme="majorEastAsia" w:cs="Times New Roman (Headings CS)"/>
          <w:b/>
        </w:rPr>
        <w:t>Deliver on High Leverage Areas</w:t>
      </w:r>
    </w:p>
    <w:p w14:paraId="1DE69069" w14:textId="77777777" w:rsidR="0031678C" w:rsidRPr="0031678C" w:rsidRDefault="0031678C" w:rsidP="00570BAB">
      <w:pPr>
        <w:spacing w:line="240" w:lineRule="auto"/>
        <w:jc w:val="both"/>
      </w:pPr>
      <w:r w:rsidRPr="0031678C">
        <w:t>You pursue outcomes with determination and resilience, navigating barriers to progress and focusing effort on resolving issues that materially affect outcomes. You generate alternative coordination pathways, adjust course as necessary, and drive continuous improvement in how complex matters are managed across government.</w:t>
      </w:r>
    </w:p>
    <w:p w14:paraId="313EC684" w14:textId="09874C19" w:rsidR="0031678C" w:rsidRPr="006D76C1" w:rsidRDefault="0031678C" w:rsidP="007E0829">
      <w:pPr>
        <w:spacing w:after="80" w:line="240" w:lineRule="auto"/>
        <w:jc w:val="both"/>
      </w:pPr>
      <w:r w:rsidRPr="006D76C1">
        <w:rPr>
          <w:rFonts w:eastAsiaTheme="majorEastAsia" w:cs="Times New Roman (Headings CS)"/>
          <w:b/>
        </w:rPr>
        <w:t>Build Capability</w:t>
      </w:r>
    </w:p>
    <w:p w14:paraId="50527C89" w14:textId="77777777" w:rsidR="0031678C" w:rsidRPr="0031678C" w:rsidRDefault="0031678C" w:rsidP="00570BAB">
      <w:pPr>
        <w:spacing w:line="240" w:lineRule="auto"/>
        <w:jc w:val="both"/>
      </w:pPr>
      <w:r w:rsidRPr="0031678C">
        <w:t>You develop the future capability requirements of your teams and contribute to developing a diverse and capable leadership pipeline within the agency and sector. You create and support strategies that enable staff to operate effectively in complex, cross-agency environments.</w:t>
      </w:r>
    </w:p>
    <w:p w14:paraId="078071A9" w14:textId="7EBF09E5" w:rsidR="0031678C" w:rsidRPr="006D76C1" w:rsidRDefault="0031678C" w:rsidP="007E0829">
      <w:pPr>
        <w:spacing w:after="80" w:line="240" w:lineRule="auto"/>
        <w:jc w:val="both"/>
        <w:rPr>
          <w:b/>
        </w:rPr>
      </w:pPr>
      <w:r w:rsidRPr="006D76C1">
        <w:rPr>
          <w:rFonts w:eastAsiaTheme="majorEastAsia" w:cs="Times New Roman (Headings CS)"/>
          <w:b/>
        </w:rPr>
        <w:t>Embody the Spirit of Public Service</w:t>
      </w:r>
    </w:p>
    <w:p w14:paraId="6595045C" w14:textId="77777777" w:rsidR="0031678C" w:rsidRPr="0031678C" w:rsidRDefault="0031678C" w:rsidP="00570BAB">
      <w:pPr>
        <w:spacing w:line="240" w:lineRule="auto"/>
        <w:jc w:val="both"/>
      </w:pPr>
      <w:r w:rsidRPr="0031678C">
        <w:t>You are committed to, and communicate the importance of, good governance, integrity and ethical conduct. You promote respect for the public sector and proactively address conduct and integrity matters in the exercise of delegated authority.</w:t>
      </w:r>
    </w:p>
    <w:p w14:paraId="20D51E75" w14:textId="0206EB95" w:rsidR="0031678C" w:rsidRPr="006D76C1" w:rsidRDefault="0031678C" w:rsidP="00E438C1">
      <w:pPr>
        <w:spacing w:after="80" w:line="240" w:lineRule="auto"/>
        <w:jc w:val="both"/>
      </w:pPr>
      <w:r w:rsidRPr="006D76C1">
        <w:rPr>
          <w:rFonts w:eastAsiaTheme="majorEastAsia" w:cs="Times New Roman (Headings CS)"/>
          <w:b/>
        </w:rPr>
        <w:t>Lead Adaptively</w:t>
      </w:r>
    </w:p>
    <w:p w14:paraId="2AFE2A99" w14:textId="77777777" w:rsidR="0031678C" w:rsidRPr="0031678C" w:rsidRDefault="0031678C" w:rsidP="00570BAB">
      <w:pPr>
        <w:spacing w:line="240" w:lineRule="auto"/>
        <w:jc w:val="both"/>
      </w:pPr>
      <w:r w:rsidRPr="0031678C">
        <w:t xml:space="preserve">You continually seek to understand your own strengths, limitations and blind spots and adapt your leadership approach to engage and influence teams and stakeholders. You </w:t>
      </w:r>
      <w:r w:rsidRPr="0031678C">
        <w:lastRenderedPageBreak/>
        <w:t>remain effective under sustained pressure and adjust strategies to maintain performance and trust.</w:t>
      </w:r>
    </w:p>
    <w:p w14:paraId="53311947" w14:textId="1AD4F115" w:rsidR="00B646FB" w:rsidRPr="00C42E57" w:rsidRDefault="007421AD" w:rsidP="00570BAB">
      <w:pPr>
        <w:spacing w:before="240" w:line="240" w:lineRule="auto"/>
        <w:jc w:val="both"/>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0F3BC8F2" w14:textId="77777777" w:rsidR="0031678C" w:rsidRPr="00357E28" w:rsidRDefault="0031678C" w:rsidP="00570BAB">
      <w:pPr>
        <w:jc w:val="both"/>
        <w:rPr>
          <w:b/>
          <w:bCs/>
        </w:rPr>
      </w:pPr>
      <w:r w:rsidRPr="00357E28">
        <w:rPr>
          <w:b/>
          <w:bCs/>
        </w:rPr>
        <w:t>Essential</w:t>
      </w:r>
    </w:p>
    <w:p w14:paraId="039899ED" w14:textId="77777777" w:rsidR="0031678C" w:rsidRDefault="0031678C" w:rsidP="00570BAB">
      <w:pPr>
        <w:pStyle w:val="ListParagraph"/>
        <w:numPr>
          <w:ilvl w:val="0"/>
          <w:numId w:val="9"/>
        </w:numPr>
        <w:ind w:left="357" w:hanging="357"/>
        <w:jc w:val="both"/>
        <w:rPr>
          <w:rFonts w:cs="Arial"/>
          <w:szCs w:val="24"/>
        </w:rPr>
      </w:pPr>
      <w:r w:rsidRPr="00DB574C">
        <w:rPr>
          <w:rFonts w:cs="Arial"/>
          <w:szCs w:val="24"/>
        </w:rPr>
        <w:t>Strong alignment to the roles diverse and comprehensive requirements in the context of the position.</w:t>
      </w:r>
    </w:p>
    <w:p w14:paraId="1055BA72" w14:textId="77777777" w:rsidR="0031678C" w:rsidRPr="00357E28" w:rsidRDefault="0031678C" w:rsidP="00570BAB">
      <w:pPr>
        <w:pStyle w:val="ListParagraph"/>
        <w:numPr>
          <w:ilvl w:val="0"/>
          <w:numId w:val="9"/>
        </w:numPr>
        <w:ind w:left="357" w:hanging="357"/>
        <w:jc w:val="both"/>
        <w:rPr>
          <w:rFonts w:cs="Arial"/>
          <w:szCs w:val="24"/>
        </w:rPr>
      </w:pPr>
      <w:r w:rsidRPr="00357E28">
        <w:t xml:space="preserve">Demonstrate the behaviours within the leadership context of Executive Leader as outlined above. </w:t>
      </w:r>
    </w:p>
    <w:p w14:paraId="43DE545F" w14:textId="77777777" w:rsidR="0031678C" w:rsidRPr="00357E28" w:rsidRDefault="0031678C" w:rsidP="00570BAB">
      <w:pPr>
        <w:jc w:val="both"/>
        <w:rPr>
          <w:b/>
          <w:bCs/>
        </w:rPr>
      </w:pPr>
      <w:r>
        <w:rPr>
          <w:b/>
          <w:bCs/>
        </w:rPr>
        <w:t>Desirable</w:t>
      </w:r>
    </w:p>
    <w:p w14:paraId="3B14277D" w14:textId="222515D8" w:rsidR="0031678C" w:rsidRPr="0031678C" w:rsidRDefault="0031678C" w:rsidP="00570BAB">
      <w:pPr>
        <w:pStyle w:val="ListParagraph"/>
        <w:numPr>
          <w:ilvl w:val="0"/>
          <w:numId w:val="28"/>
        </w:numPr>
        <w:jc w:val="both"/>
        <w:rPr>
          <w:rFonts w:cs="Arial"/>
          <w:szCs w:val="24"/>
        </w:rPr>
      </w:pPr>
      <w:r>
        <w:rPr>
          <w:rFonts w:cs="Arial"/>
          <w:szCs w:val="24"/>
        </w:rPr>
        <w:t xml:space="preserve">Relevant </w:t>
      </w:r>
      <w:r w:rsidRPr="00DA1EE1">
        <w:rPr>
          <w:rFonts w:cs="Arial"/>
          <w:szCs w:val="24"/>
        </w:rPr>
        <w:t>tertiary qualification(s) in a relevant field, aligned to the work area, would be well considered.</w:t>
      </w:r>
    </w:p>
    <w:p w14:paraId="7204F3E3" w14:textId="6DC85FE8" w:rsidR="00957200" w:rsidRPr="00343EA2" w:rsidRDefault="00957200" w:rsidP="00570BAB">
      <w:pPr>
        <w:spacing w:before="240" w:line="240" w:lineRule="auto"/>
        <w:jc w:val="both"/>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570BAB">
      <w:pPr>
        <w:jc w:val="both"/>
      </w:pPr>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70BAB">
      <w:pPr>
        <w:jc w:val="both"/>
      </w:pPr>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570BAB">
      <w:pPr>
        <w:pStyle w:val="Heading1"/>
        <w:jc w:val="both"/>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570BAB">
            <w:pPr>
              <w:pStyle w:val="Heading3"/>
              <w:ind w:left="-113"/>
              <w:jc w:val="both"/>
              <w:rPr>
                <w:sz w:val="22"/>
                <w:szCs w:val="22"/>
              </w:rPr>
            </w:pPr>
            <w:r w:rsidRPr="00772241">
              <w:rPr>
                <w:sz w:val="22"/>
                <w:szCs w:val="22"/>
              </w:rPr>
              <w:t>Authorising Signature:</w:t>
            </w:r>
          </w:p>
        </w:tc>
        <w:tc>
          <w:tcPr>
            <w:tcW w:w="4678" w:type="dxa"/>
          </w:tcPr>
          <w:p w14:paraId="05F6E0BC" w14:textId="01287DA1" w:rsidR="00772241" w:rsidRPr="00772241" w:rsidRDefault="00772241" w:rsidP="00570BAB">
            <w:pPr>
              <w:pStyle w:val="Heading3"/>
              <w:jc w:val="both"/>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570BAB">
            <w:pPr>
              <w:pStyle w:val="Heading3"/>
              <w:ind w:hanging="113"/>
              <w:jc w:val="both"/>
              <w:rPr>
                <w:sz w:val="22"/>
                <w:szCs w:val="22"/>
              </w:rPr>
            </w:pPr>
            <w:r w:rsidRPr="00772241">
              <w:rPr>
                <w:sz w:val="22"/>
                <w:szCs w:val="22"/>
              </w:rPr>
              <w:t>Date:</w:t>
            </w:r>
          </w:p>
        </w:tc>
        <w:tc>
          <w:tcPr>
            <w:tcW w:w="4678" w:type="dxa"/>
          </w:tcPr>
          <w:p w14:paraId="2CC297B8" w14:textId="44A3D1A1" w:rsidR="00772241" w:rsidRPr="00772241" w:rsidRDefault="00772241" w:rsidP="00570BAB">
            <w:pPr>
              <w:pStyle w:val="Heading3"/>
              <w:jc w:val="both"/>
              <w:rPr>
                <w:sz w:val="22"/>
                <w:szCs w:val="22"/>
              </w:rPr>
            </w:pPr>
            <w:r w:rsidRPr="00772241">
              <w:rPr>
                <w:sz w:val="22"/>
                <w:szCs w:val="22"/>
              </w:rPr>
              <w:t>Date:</w:t>
            </w:r>
          </w:p>
        </w:tc>
      </w:tr>
    </w:tbl>
    <w:p w14:paraId="48A53E74" w14:textId="77777777" w:rsidR="00756536" w:rsidRPr="00D007E3" w:rsidRDefault="00756536" w:rsidP="00570BAB">
      <w:pPr>
        <w:jc w:val="both"/>
        <w:rPr>
          <w:rFonts w:ascii="Neue Haas Grotesk Text Pro" w:hAnsi="Neue Haas Grotesk Text Pro"/>
        </w:rPr>
      </w:pPr>
    </w:p>
    <w:sectPr w:rsidR="00756536" w:rsidRPr="00D007E3" w:rsidSect="00280C06">
      <w:headerReference w:type="default" r:id="rId14"/>
      <w:footerReference w:type="even" r:id="rId15"/>
      <w:footerReference w:type="default" r:id="rId16"/>
      <w:headerReference w:type="first" r:id="rId17"/>
      <w:footerReference w:type="first" r:id="rId18"/>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71DB" w14:textId="77777777" w:rsidR="00167E69" w:rsidRDefault="00167E69" w:rsidP="00756536">
      <w:pPr>
        <w:spacing w:after="0" w:line="240" w:lineRule="auto"/>
      </w:pPr>
      <w:r>
        <w:separator/>
      </w:r>
    </w:p>
  </w:endnote>
  <w:endnote w:type="continuationSeparator" w:id="0">
    <w:p w14:paraId="00813D73" w14:textId="77777777" w:rsidR="00167E69" w:rsidRDefault="00167E69"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C0D3" w14:textId="77777777" w:rsidR="00167E69" w:rsidRDefault="00167E69" w:rsidP="00756536">
      <w:pPr>
        <w:spacing w:after="0" w:line="240" w:lineRule="auto"/>
      </w:pPr>
      <w:r>
        <w:separator/>
      </w:r>
    </w:p>
  </w:footnote>
  <w:footnote w:type="continuationSeparator" w:id="0">
    <w:p w14:paraId="16F8EF84" w14:textId="77777777" w:rsidR="00167E69" w:rsidRDefault="00167E69"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57C0B"/>
    <w:multiLevelType w:val="hybridMultilevel"/>
    <w:tmpl w:val="14F0B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6" w15:restartNumberingAfterBreak="0">
    <w:nsid w:val="7F647BE4"/>
    <w:multiLevelType w:val="hybridMultilevel"/>
    <w:tmpl w:val="7E82D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18785469">
    <w:abstractNumId w:val="9"/>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7"/>
  </w:num>
  <w:num w:numId="5" w16cid:durableId="165638337">
    <w:abstractNumId w:val="14"/>
  </w:num>
  <w:num w:numId="6" w16cid:durableId="1123695853">
    <w:abstractNumId w:val="13"/>
  </w:num>
  <w:num w:numId="7" w16cid:durableId="1581137968">
    <w:abstractNumId w:val="5"/>
  </w:num>
  <w:num w:numId="8" w16cid:durableId="210381380">
    <w:abstractNumId w:val="7"/>
  </w:num>
  <w:num w:numId="9" w16cid:durableId="1667249357">
    <w:abstractNumId w:val="25"/>
  </w:num>
  <w:num w:numId="10" w16cid:durableId="1636334645">
    <w:abstractNumId w:val="16"/>
  </w:num>
  <w:num w:numId="11" w16cid:durableId="1816409002">
    <w:abstractNumId w:val="11"/>
  </w:num>
  <w:num w:numId="12" w16cid:durableId="1771470451">
    <w:abstractNumId w:val="12"/>
  </w:num>
  <w:num w:numId="13" w16cid:durableId="2042582278">
    <w:abstractNumId w:val="24"/>
  </w:num>
  <w:num w:numId="14" w16cid:durableId="301085470">
    <w:abstractNumId w:val="18"/>
  </w:num>
  <w:num w:numId="15" w16cid:durableId="24185399">
    <w:abstractNumId w:val="2"/>
  </w:num>
  <w:num w:numId="16" w16cid:durableId="169490687">
    <w:abstractNumId w:val="15"/>
  </w:num>
  <w:num w:numId="17" w16cid:durableId="629700953">
    <w:abstractNumId w:val="1"/>
  </w:num>
  <w:num w:numId="18" w16cid:durableId="1341004227">
    <w:abstractNumId w:val="20"/>
  </w:num>
  <w:num w:numId="19" w16cid:durableId="1468815981">
    <w:abstractNumId w:val="19"/>
  </w:num>
  <w:num w:numId="20" w16cid:durableId="1483697836">
    <w:abstractNumId w:val="0"/>
  </w:num>
  <w:num w:numId="21" w16cid:durableId="1199708562">
    <w:abstractNumId w:val="3"/>
  </w:num>
  <w:num w:numId="22" w16cid:durableId="666324951">
    <w:abstractNumId w:val="10"/>
  </w:num>
  <w:num w:numId="23" w16cid:durableId="1153444563">
    <w:abstractNumId w:val="4"/>
  </w:num>
  <w:num w:numId="24" w16cid:durableId="1034843463">
    <w:abstractNumId w:val="22"/>
  </w:num>
  <w:num w:numId="25" w16cid:durableId="1168908575">
    <w:abstractNumId w:val="23"/>
  </w:num>
  <w:num w:numId="26" w16cid:durableId="673799948">
    <w:abstractNumId w:val="8"/>
  </w:num>
  <w:num w:numId="27" w16cid:durableId="1567567827">
    <w:abstractNumId w:val="21"/>
  </w:num>
  <w:num w:numId="28" w16cid:durableId="15940505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67AD"/>
    <w:rsid w:val="00021A3D"/>
    <w:rsid w:val="00025438"/>
    <w:rsid w:val="00030A04"/>
    <w:rsid w:val="00044FF3"/>
    <w:rsid w:val="00046F8F"/>
    <w:rsid w:val="00051CBF"/>
    <w:rsid w:val="00060D42"/>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67E69"/>
    <w:rsid w:val="001744F5"/>
    <w:rsid w:val="001747BC"/>
    <w:rsid w:val="001A50FB"/>
    <w:rsid w:val="001B27CF"/>
    <w:rsid w:val="001B52F9"/>
    <w:rsid w:val="001B54FD"/>
    <w:rsid w:val="001B7A87"/>
    <w:rsid w:val="001B7CD1"/>
    <w:rsid w:val="001D1C60"/>
    <w:rsid w:val="00204930"/>
    <w:rsid w:val="00205758"/>
    <w:rsid w:val="002156DB"/>
    <w:rsid w:val="00216C2A"/>
    <w:rsid w:val="0022353B"/>
    <w:rsid w:val="002342EF"/>
    <w:rsid w:val="002369D6"/>
    <w:rsid w:val="00246EF2"/>
    <w:rsid w:val="0024718E"/>
    <w:rsid w:val="00260B8D"/>
    <w:rsid w:val="002656BC"/>
    <w:rsid w:val="00280169"/>
    <w:rsid w:val="00280C06"/>
    <w:rsid w:val="00283EB7"/>
    <w:rsid w:val="002843C7"/>
    <w:rsid w:val="002874CE"/>
    <w:rsid w:val="002937C1"/>
    <w:rsid w:val="002956EB"/>
    <w:rsid w:val="00296155"/>
    <w:rsid w:val="00296FEC"/>
    <w:rsid w:val="002A3C71"/>
    <w:rsid w:val="002B657B"/>
    <w:rsid w:val="002D3E24"/>
    <w:rsid w:val="002F64E9"/>
    <w:rsid w:val="00300C8A"/>
    <w:rsid w:val="0030375D"/>
    <w:rsid w:val="0031678C"/>
    <w:rsid w:val="0033476B"/>
    <w:rsid w:val="00343EA2"/>
    <w:rsid w:val="0035140B"/>
    <w:rsid w:val="003522C2"/>
    <w:rsid w:val="0036514A"/>
    <w:rsid w:val="003830D8"/>
    <w:rsid w:val="00392B00"/>
    <w:rsid w:val="00394896"/>
    <w:rsid w:val="003A12FE"/>
    <w:rsid w:val="003A3903"/>
    <w:rsid w:val="003A787A"/>
    <w:rsid w:val="003C1C26"/>
    <w:rsid w:val="003D0A66"/>
    <w:rsid w:val="003D1C3B"/>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C7E95"/>
    <w:rsid w:val="004D4E08"/>
    <w:rsid w:val="004E000D"/>
    <w:rsid w:val="004E1073"/>
    <w:rsid w:val="004E2FC6"/>
    <w:rsid w:val="004F457E"/>
    <w:rsid w:val="00521529"/>
    <w:rsid w:val="005257D4"/>
    <w:rsid w:val="0053546B"/>
    <w:rsid w:val="00536F4B"/>
    <w:rsid w:val="00570BA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B091B"/>
    <w:rsid w:val="006C1C4D"/>
    <w:rsid w:val="006C2F8C"/>
    <w:rsid w:val="006D03B1"/>
    <w:rsid w:val="006D76C1"/>
    <w:rsid w:val="006F17A8"/>
    <w:rsid w:val="006F2E70"/>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C4EE0"/>
    <w:rsid w:val="007D3FC6"/>
    <w:rsid w:val="007D5860"/>
    <w:rsid w:val="007E0829"/>
    <w:rsid w:val="007E7FB0"/>
    <w:rsid w:val="008006FC"/>
    <w:rsid w:val="008067CC"/>
    <w:rsid w:val="00814628"/>
    <w:rsid w:val="00816453"/>
    <w:rsid w:val="0084252E"/>
    <w:rsid w:val="008531F0"/>
    <w:rsid w:val="00854002"/>
    <w:rsid w:val="00892424"/>
    <w:rsid w:val="008947AE"/>
    <w:rsid w:val="00896221"/>
    <w:rsid w:val="008A3F8E"/>
    <w:rsid w:val="008E0484"/>
    <w:rsid w:val="008E36D7"/>
    <w:rsid w:val="009075E2"/>
    <w:rsid w:val="009514B1"/>
    <w:rsid w:val="009515A0"/>
    <w:rsid w:val="00954FA9"/>
    <w:rsid w:val="00957200"/>
    <w:rsid w:val="0095755A"/>
    <w:rsid w:val="00961CC9"/>
    <w:rsid w:val="009655C0"/>
    <w:rsid w:val="00971722"/>
    <w:rsid w:val="00987A78"/>
    <w:rsid w:val="009C0ED6"/>
    <w:rsid w:val="009D0EC7"/>
    <w:rsid w:val="009D69D5"/>
    <w:rsid w:val="00A00DF9"/>
    <w:rsid w:val="00A2480E"/>
    <w:rsid w:val="00A254A1"/>
    <w:rsid w:val="00A274B9"/>
    <w:rsid w:val="00A40911"/>
    <w:rsid w:val="00A518E1"/>
    <w:rsid w:val="00A64040"/>
    <w:rsid w:val="00A72186"/>
    <w:rsid w:val="00A86D4C"/>
    <w:rsid w:val="00A93FF1"/>
    <w:rsid w:val="00A972A4"/>
    <w:rsid w:val="00AA31C0"/>
    <w:rsid w:val="00AA416A"/>
    <w:rsid w:val="00AA4641"/>
    <w:rsid w:val="00AC584F"/>
    <w:rsid w:val="00AC73F2"/>
    <w:rsid w:val="00AE1B75"/>
    <w:rsid w:val="00AE4816"/>
    <w:rsid w:val="00AE5EBA"/>
    <w:rsid w:val="00B1554C"/>
    <w:rsid w:val="00B175EC"/>
    <w:rsid w:val="00B20A88"/>
    <w:rsid w:val="00B24824"/>
    <w:rsid w:val="00B63B10"/>
    <w:rsid w:val="00B646FB"/>
    <w:rsid w:val="00B8027B"/>
    <w:rsid w:val="00B96037"/>
    <w:rsid w:val="00BA7D09"/>
    <w:rsid w:val="00BB541C"/>
    <w:rsid w:val="00BC31BC"/>
    <w:rsid w:val="00BC5C3F"/>
    <w:rsid w:val="00BD1B8C"/>
    <w:rsid w:val="00BF20C5"/>
    <w:rsid w:val="00C12F9A"/>
    <w:rsid w:val="00C13E6C"/>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65E"/>
    <w:rsid w:val="00D436A4"/>
    <w:rsid w:val="00D54C40"/>
    <w:rsid w:val="00D718AA"/>
    <w:rsid w:val="00D71E76"/>
    <w:rsid w:val="00D732A5"/>
    <w:rsid w:val="00D7570D"/>
    <w:rsid w:val="00D801DC"/>
    <w:rsid w:val="00DB08AF"/>
    <w:rsid w:val="00DD7AA3"/>
    <w:rsid w:val="00DE25B4"/>
    <w:rsid w:val="00DF1A44"/>
    <w:rsid w:val="00DF4B7C"/>
    <w:rsid w:val="00DF7BA5"/>
    <w:rsid w:val="00E02BA3"/>
    <w:rsid w:val="00E14F0F"/>
    <w:rsid w:val="00E20BE0"/>
    <w:rsid w:val="00E23326"/>
    <w:rsid w:val="00E432A1"/>
    <w:rsid w:val="00E438C1"/>
    <w:rsid w:val="00E4641B"/>
    <w:rsid w:val="00E46989"/>
    <w:rsid w:val="00E551E6"/>
    <w:rsid w:val="00E61CE6"/>
    <w:rsid w:val="00EA11AC"/>
    <w:rsid w:val="00EA5626"/>
    <w:rsid w:val="00EC0E99"/>
    <w:rsid w:val="00EC7340"/>
    <w:rsid w:val="00ED18BE"/>
    <w:rsid w:val="00ED68B9"/>
    <w:rsid w:val="00ED7D74"/>
    <w:rsid w:val="00EE13A1"/>
    <w:rsid w:val="00EE3673"/>
    <w:rsid w:val="00EF2F5D"/>
    <w:rsid w:val="00F02587"/>
    <w:rsid w:val="00F156D2"/>
    <w:rsid w:val="00F167A5"/>
    <w:rsid w:val="00F239E4"/>
    <w:rsid w:val="00F51C71"/>
    <w:rsid w:val="00F80DEC"/>
    <w:rsid w:val="00F95B4C"/>
    <w:rsid w:val="00F971AB"/>
    <w:rsid w:val="00FA1359"/>
    <w:rsid w:val="00FA7287"/>
    <w:rsid w:val="00FB2D81"/>
    <w:rsid w:val="00FD7C45"/>
    <w:rsid w:val="00FE0D47"/>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 w:type="character" w:styleId="UnresolvedMention">
    <w:name w:val="Unresolved Mention"/>
    <w:basedOn w:val="DefaultParagraphFont"/>
    <w:uiPriority w:val="99"/>
    <w:semiHidden/>
    <w:unhideWhenUsed/>
    <w:rsid w:val="00316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document-collections/executive-leade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organisation/public-sector-commission/leadership-expect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building-leadership-impa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Props1.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4.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7333</Characters>
  <Application>Microsoft Office Word</Application>
  <DocSecurity>0</DocSecurity>
  <Lines>141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Benson, Christian</cp:lastModifiedBy>
  <cp:revision>2</cp:revision>
  <cp:lastPrinted>2024-03-14T05:17:00Z</cp:lastPrinted>
  <dcterms:created xsi:type="dcterms:W3CDTF">2026-05-04T04:45:00Z</dcterms:created>
  <dcterms:modified xsi:type="dcterms:W3CDTF">2026-05-04T04:45:00Z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-1333026550</vt:i4>
  </property>
  <property fmtid="{D5CDD505-2E9C-101B-9397-08002B2CF9AE}" pid="11" name="_NewReviewCycle">
    <vt:lpwstr/>
  </property>
  <property fmtid="{D5CDD505-2E9C-101B-9397-08002B2CF9AE}" pid="12" name="_EmailSubject">
    <vt:lpwstr>Proposed JDFs - Assistant Coordinator General – State Development Areas &amp; Assistant Coordinator General – Priority Projects </vt:lpwstr>
  </property>
  <property fmtid="{D5CDD505-2E9C-101B-9397-08002B2CF9AE}" pid="13" name="_AuthorEmail">
    <vt:lpwstr>Emma.deBurgh@dpc.wa.gov.au</vt:lpwstr>
  </property>
  <property fmtid="{D5CDD505-2E9C-101B-9397-08002B2CF9AE}" pid="14" name="_AuthorEmailDisplayName">
    <vt:lpwstr>De Burgh, Emma</vt:lpwstr>
  </property>
  <property fmtid="{D5CDD505-2E9C-101B-9397-08002B2CF9AE}" pid="15" name="_PreviousAdHocReviewCycleID">
    <vt:i4>-166307384</vt:i4>
  </property>
  <property fmtid="{D5CDD505-2E9C-101B-9397-08002B2CF9AE}" pid="16" name="_ReviewingToolsShownOnce">
    <vt:lpwstr/>
  </property>
</Properties>
</file>