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5FC0CCD2" w:rsidR="004A4EC3" w:rsidRPr="00C14680" w:rsidRDefault="000825DC"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Audit and Risk Lead</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Pr>
          <w:rFonts w:eastAsiaTheme="majorEastAsia" w:cs="Times New Roman (Headings CS)"/>
          <w:b/>
          <w:color w:val="CC5733"/>
          <w:sz w:val="30"/>
          <w:szCs w:val="30"/>
        </w:rPr>
        <w:t>7</w:t>
      </w:r>
      <w:r w:rsidR="004A4EC3" w:rsidRPr="00C14680">
        <w:rPr>
          <w:rFonts w:eastAsiaTheme="majorEastAsia" w:cs="Times New Roman (Headings CS)"/>
          <w:b/>
          <w:color w:val="CC5733"/>
          <w:sz w:val="30"/>
          <w:szCs w:val="30"/>
        </w:rPr>
        <w:t xml:space="preserve"> (</w:t>
      </w:r>
      <w:r w:rsidR="007B0CFF">
        <w:rPr>
          <w:rFonts w:eastAsiaTheme="majorEastAsia" w:cs="Times New Roman (Headings CS)"/>
          <w:b/>
          <w:color w:val="CC5733"/>
          <w:sz w:val="30"/>
          <w:szCs w:val="30"/>
        </w:rPr>
        <w:t>DPC</w:t>
      </w:r>
      <w:r w:rsidR="0074753D">
        <w:rPr>
          <w:rFonts w:eastAsiaTheme="majorEastAsia" w:cs="Times New Roman (Headings CS)"/>
          <w:b/>
          <w:color w:val="CC5733"/>
          <w:sz w:val="30"/>
          <w:szCs w:val="30"/>
        </w:rPr>
        <w:t>25051</w:t>
      </w:r>
      <w:r w:rsidR="004A4EC3" w:rsidRPr="00C14680">
        <w:rPr>
          <w:rFonts w:eastAsiaTheme="majorEastAsia" w:cs="Times New Roman (Headings CS)"/>
          <w:b/>
          <w:color w:val="CC5733"/>
          <w:sz w:val="30"/>
          <w:szCs w:val="30"/>
        </w:rPr>
        <w:t>)</w:t>
      </w:r>
    </w:p>
    <w:tbl>
      <w:tblPr>
        <w:tblStyle w:val="TableGrid"/>
        <w:tblpPr w:leftFromText="180" w:rightFromText="180" w:vertAnchor="text" w:tblpY="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2126"/>
        <w:gridCol w:w="1559"/>
        <w:gridCol w:w="2934"/>
        <w:gridCol w:w="610"/>
      </w:tblGrid>
      <w:tr w:rsidR="004A4EC3" w:rsidRPr="00D007E3" w14:paraId="361BAA74" w14:textId="77777777" w:rsidTr="0067583E">
        <w:trPr>
          <w:gridAfter w:val="1"/>
          <w:wAfter w:w="610" w:type="dxa"/>
          <w:trHeight w:val="465"/>
        </w:trPr>
        <w:tc>
          <w:tcPr>
            <w:tcW w:w="2552" w:type="dxa"/>
          </w:tcPr>
          <w:p w14:paraId="77A0CA35" w14:textId="35EFD895" w:rsidR="004A4EC3" w:rsidRPr="00D007E3" w:rsidRDefault="009514B1" w:rsidP="004A4EC3">
            <w:pPr>
              <w:pStyle w:val="Formfields"/>
              <w:framePr w:hSpace="0" w:wrap="auto" w:vAnchor="margin" w:yAlign="inline"/>
              <w:suppressOverlap w:val="0"/>
              <w:rPr>
                <w:color w:val="000000" w:themeColor="text1"/>
              </w:rPr>
            </w:pPr>
            <w:r>
              <w:t>Division/</w:t>
            </w:r>
            <w:r w:rsidR="004A4EC3" w:rsidRPr="00D007E3">
              <w:t xml:space="preserve">Directorate: </w:t>
            </w:r>
          </w:p>
        </w:tc>
        <w:tc>
          <w:tcPr>
            <w:tcW w:w="2126" w:type="dxa"/>
          </w:tcPr>
          <w:p w14:paraId="6E7A5B79" w14:textId="2057C64A" w:rsidR="004A4EC3" w:rsidRPr="00D007E3" w:rsidRDefault="007B0CFF" w:rsidP="004A4EC3">
            <w:r>
              <w:t>State Services</w:t>
            </w:r>
          </w:p>
        </w:tc>
        <w:tc>
          <w:tcPr>
            <w:tcW w:w="1559"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934" w:type="dxa"/>
          </w:tcPr>
          <w:p w14:paraId="0836B71E" w14:textId="7C67F7E5" w:rsidR="004A4EC3" w:rsidRPr="006A1E28" w:rsidRDefault="007B0CFF" w:rsidP="004A4EC3">
            <w:pPr>
              <w:rPr>
                <w:color w:val="000000" w:themeColor="text1"/>
              </w:rPr>
            </w:pPr>
            <w:r w:rsidRPr="007B0CFF">
              <w:rPr>
                <w:color w:val="000000" w:themeColor="text1"/>
              </w:rPr>
              <w:t>Manager Governance and Strategy</w:t>
            </w:r>
          </w:p>
        </w:tc>
      </w:tr>
      <w:tr w:rsidR="004A4EC3" w:rsidRPr="00D007E3" w14:paraId="77F9C586" w14:textId="77777777" w:rsidTr="0067583E">
        <w:trPr>
          <w:trHeight w:val="85"/>
        </w:trPr>
        <w:tc>
          <w:tcPr>
            <w:tcW w:w="2552" w:type="dxa"/>
          </w:tcPr>
          <w:p w14:paraId="5E66F297" w14:textId="1455B585" w:rsidR="004A4EC3" w:rsidRPr="00D007E3" w:rsidRDefault="004A4EC3" w:rsidP="004A4EC3">
            <w:pPr>
              <w:pStyle w:val="Default"/>
              <w:rPr>
                <w:color w:val="000000" w:themeColor="text1"/>
              </w:rPr>
            </w:pPr>
            <w:r w:rsidRPr="00D007E3">
              <w:rPr>
                <w:color w:val="CC5733"/>
              </w:rPr>
              <w:t xml:space="preserve">Branch/Section: </w:t>
            </w:r>
          </w:p>
        </w:tc>
        <w:tc>
          <w:tcPr>
            <w:tcW w:w="2126" w:type="dxa"/>
          </w:tcPr>
          <w:p w14:paraId="2E756B84" w14:textId="42BFC13B" w:rsidR="004A4EC3" w:rsidRPr="00D007E3" w:rsidRDefault="009A0C1E" w:rsidP="004A4EC3">
            <w:r>
              <w:t>Governance and Strategy</w:t>
            </w:r>
          </w:p>
        </w:tc>
        <w:tc>
          <w:tcPr>
            <w:tcW w:w="1559"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3544" w:type="dxa"/>
            <w:gridSpan w:val="2"/>
          </w:tcPr>
          <w:p w14:paraId="492DAAAF" w14:textId="43ACFBF8" w:rsidR="004A4EC3" w:rsidRPr="006A1E28" w:rsidRDefault="000825DC" w:rsidP="004A4EC3">
            <w:pPr>
              <w:rPr>
                <w:color w:val="000000" w:themeColor="text1"/>
              </w:rPr>
            </w:pPr>
            <w:r>
              <w:rPr>
                <w:color w:val="000000" w:themeColor="text1"/>
              </w:rPr>
              <w:t>1 FTE</w:t>
            </w:r>
          </w:p>
        </w:tc>
      </w:tr>
      <w:tr w:rsidR="004A4EC3" w:rsidRPr="00D007E3" w14:paraId="6BBCF80B" w14:textId="77777777" w:rsidTr="0067583E">
        <w:trPr>
          <w:trHeight w:val="434"/>
        </w:trPr>
        <w:tc>
          <w:tcPr>
            <w:tcW w:w="2552"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126" w:type="dxa"/>
          </w:tcPr>
          <w:p w14:paraId="7552AE47" w14:textId="775F0025" w:rsidR="004A4EC3" w:rsidRPr="00D007E3" w:rsidRDefault="004E2FC6" w:rsidP="004A4EC3">
            <w:r>
              <w:t xml:space="preserve">West Perth </w:t>
            </w:r>
          </w:p>
        </w:tc>
        <w:tc>
          <w:tcPr>
            <w:tcW w:w="1559" w:type="dxa"/>
          </w:tcPr>
          <w:p w14:paraId="7FF4CBAE" w14:textId="0CC22394" w:rsidR="004A4EC3" w:rsidRPr="00D007E3" w:rsidRDefault="004A4EC3" w:rsidP="004A4EC3">
            <w:pPr>
              <w:pStyle w:val="Default"/>
              <w:rPr>
                <w:color w:val="CC5733"/>
              </w:rPr>
            </w:pPr>
          </w:p>
        </w:tc>
        <w:tc>
          <w:tcPr>
            <w:tcW w:w="3544" w:type="dxa"/>
            <w:gridSpan w:val="2"/>
          </w:tcPr>
          <w:p w14:paraId="6D36D602" w14:textId="0EDB96F9" w:rsidR="004A4EC3" w:rsidRPr="00D007E3"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4A3655">
      <w:pPr>
        <w:spacing w:line="240" w:lineRule="auto"/>
      </w:pPr>
      <w:r w:rsidRPr="004A3655">
        <w:t>The Department of the Premier and Cabinet (DPC) leads the public sector in providing whole-of-Government advice and support to the Premier and Cabinet in their service of the WA community.</w:t>
      </w:r>
      <w:r w:rsidR="00044FF3" w:rsidRPr="004A3655">
        <w:t xml:space="preserve"> </w:t>
      </w:r>
    </w:p>
    <w:p w14:paraId="1AEF4CDD" w14:textId="3AB0B98D" w:rsidR="00FE0D47" w:rsidRPr="004A3655" w:rsidRDefault="00FE0D47" w:rsidP="00FE0D47">
      <w:pPr>
        <w:spacing w:line="240" w:lineRule="auto"/>
      </w:pPr>
      <w:r w:rsidRPr="004A3655">
        <w:t xml:space="preserve">Our areas of responsibility include Office of Digital Government, </w:t>
      </w:r>
      <w:r>
        <w:t xml:space="preserve">Intergovernmental Relations and Strategic Priorities, </w:t>
      </w:r>
      <w:r w:rsidRPr="004A3655">
        <w:t>Aboriginal Engagement and Community Policy, Infrastructure, Economy and</w:t>
      </w:r>
      <w:r>
        <w:t xml:space="preserve"> Environment</w:t>
      </w:r>
      <w:r w:rsidRPr="004A3655">
        <w:t xml:space="preserve"> and </w:t>
      </w:r>
      <w:r w:rsidR="00892424">
        <w:t>State Services</w:t>
      </w:r>
      <w:r w:rsidRPr="004A3655">
        <w:t>.</w:t>
      </w:r>
    </w:p>
    <w:p w14:paraId="692C6C49" w14:textId="71F38795" w:rsidR="003A787A" w:rsidRPr="004A3655" w:rsidRDefault="00A00DF9" w:rsidP="004A3655">
      <w:pPr>
        <w:spacing w:line="240" w:lineRule="auto"/>
        <w:rPr>
          <w:rFonts w:ascii="Neue Haas Grotesk Text Pro" w:hAnsi="Neue Haas Grotesk Text Pro"/>
          <w:color w:val="000000" w:themeColor="text1"/>
        </w:rPr>
      </w:pPr>
      <w:r w:rsidRPr="004A3655">
        <w:t>Join us and work in a role where you can make a real difference to the lives of children, families, individuals and communities throughout Western Australia.</w:t>
      </w:r>
      <w:bookmarkStart w:id="0"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0"/>
    <w:p w14:paraId="0522F82F" w14:textId="77777777" w:rsidR="00D074B4" w:rsidRDefault="00D074B4" w:rsidP="009A0C1E">
      <w:pPr>
        <w:spacing w:after="368"/>
        <w:ind w:left="16"/>
      </w:pPr>
      <w:r w:rsidRPr="00C653BD">
        <w:t xml:space="preserve">As part of the State Services Division, the core purpose of the Governance and </w:t>
      </w:r>
      <w:r>
        <w:t>Strategy</w:t>
      </w:r>
      <w:r w:rsidRPr="00C653BD">
        <w:t xml:space="preserve"> Branch is to manage the Department's governance and risk exposure. This includes </w:t>
      </w:r>
      <w:r>
        <w:t>leading and managing</w:t>
      </w:r>
      <w:r w:rsidRPr="00C653BD">
        <w:t xml:space="preserve"> the Department Governance </w:t>
      </w:r>
      <w:proofErr w:type="gramStart"/>
      <w:r w:rsidRPr="00C653BD">
        <w:t>Framework;</w:t>
      </w:r>
      <w:proofErr w:type="gramEnd"/>
      <w:r>
        <w:t xml:space="preserve"> facilitating audit processes, strengthening organisational resilience through risk management and business continuity planning, ensuring compliance and integrity and driving strategic planning and performance. </w:t>
      </w:r>
    </w:p>
    <w:p w14:paraId="43AAF585" w14:textId="77777777" w:rsidR="006947DB" w:rsidRDefault="006947DB" w:rsidP="006947DB">
      <w:pPr>
        <w:pStyle w:val="Heading1"/>
        <w:rPr>
          <w:sz w:val="24"/>
          <w:szCs w:val="24"/>
        </w:rPr>
      </w:pPr>
      <w:r w:rsidRPr="00280C06">
        <w:rPr>
          <w:sz w:val="24"/>
          <w:szCs w:val="24"/>
        </w:rPr>
        <w:lastRenderedPageBreak/>
        <w:t>About the Role and Responsibilities</w:t>
      </w:r>
    </w:p>
    <w:p w14:paraId="1F616785" w14:textId="77777777" w:rsidR="007814DE" w:rsidRPr="000825DC" w:rsidRDefault="007814DE" w:rsidP="00F169DE">
      <w:pPr>
        <w:pStyle w:val="Heading2"/>
        <w:spacing w:before="0"/>
        <w:rPr>
          <w:b w:val="0"/>
          <w:bCs/>
          <w:color w:val="auto"/>
          <w:sz w:val="24"/>
          <w:szCs w:val="24"/>
        </w:rPr>
      </w:pPr>
      <w:r w:rsidRPr="000825DC">
        <w:rPr>
          <w:b w:val="0"/>
          <w:bCs/>
          <w:color w:val="auto"/>
          <w:sz w:val="24"/>
          <w:szCs w:val="24"/>
        </w:rPr>
        <w:t>This position is responsible for leading and managing the development, application and monitoring of the risk management frameworks and systems across the Department. Leads and manages the business continuity management framework, including review and testing of business continuity plans.  </w:t>
      </w:r>
    </w:p>
    <w:p w14:paraId="69B0EE18" w14:textId="7653C6DE" w:rsidR="006947DB" w:rsidRPr="00D074B4" w:rsidRDefault="00B9204F" w:rsidP="00D074B4">
      <w:pPr>
        <w:pStyle w:val="Heading2"/>
        <w:spacing w:before="0" w:after="0"/>
        <w:rPr>
          <w:b w:val="0"/>
          <w:bCs/>
          <w:color w:val="auto"/>
          <w:sz w:val="24"/>
          <w:szCs w:val="24"/>
        </w:rPr>
      </w:pPr>
      <w:r w:rsidRPr="000825DC">
        <w:rPr>
          <w:b w:val="0"/>
          <w:bCs/>
          <w:color w:val="auto"/>
          <w:sz w:val="24"/>
          <w:szCs w:val="24"/>
        </w:rPr>
        <w:t xml:space="preserve">This is a leadership </w:t>
      </w:r>
      <w:r>
        <w:rPr>
          <w:b w:val="0"/>
          <w:bCs/>
          <w:color w:val="auto"/>
          <w:sz w:val="24"/>
          <w:szCs w:val="24"/>
        </w:rPr>
        <w:t>role</w:t>
      </w:r>
      <w:r w:rsidRPr="000825DC">
        <w:rPr>
          <w:b w:val="0"/>
          <w:bCs/>
          <w:color w:val="auto"/>
          <w:sz w:val="24"/>
          <w:szCs w:val="24"/>
        </w:rPr>
        <w:t xml:space="preserve"> for someone who thrives in complexity, delivers high-quality governance outcomes, and can influence strategic decision-making. </w:t>
      </w:r>
    </w:p>
    <w:p w14:paraId="04082044" w14:textId="77777777" w:rsidR="000825DC" w:rsidRDefault="000825DC" w:rsidP="000825DC">
      <w:pPr>
        <w:pStyle w:val="Heading2"/>
        <w:rPr>
          <w:b w:val="0"/>
          <w:bCs/>
          <w:color w:val="auto"/>
          <w:sz w:val="24"/>
          <w:szCs w:val="24"/>
        </w:rPr>
      </w:pPr>
      <w:r w:rsidRPr="000825DC">
        <w:rPr>
          <w:b w:val="0"/>
          <w:bCs/>
          <w:color w:val="auto"/>
          <w:sz w:val="24"/>
          <w:szCs w:val="24"/>
        </w:rPr>
        <w:t>You will oversee audit delivery, strengthen risk frameworks, and guide a small, high-performing team to embed a culture of accountability and resilience across the organisation. </w:t>
      </w:r>
    </w:p>
    <w:p w14:paraId="180085B5" w14:textId="77777777" w:rsidR="000825DC" w:rsidRPr="000825DC" w:rsidRDefault="000825DC" w:rsidP="000825DC">
      <w:pPr>
        <w:numPr>
          <w:ilvl w:val="0"/>
          <w:numId w:val="25"/>
        </w:numPr>
        <w:tabs>
          <w:tab w:val="num" w:pos="720"/>
        </w:tabs>
      </w:pPr>
      <w:r w:rsidRPr="000825DC">
        <w:t>Lead the development, application, monitoring and review of the strategic, operational and project risk management, audit plan and business continuity frameworks, including strategies, plans, policies, methodologies and tools across the Department for effective governance and assurance. </w:t>
      </w:r>
    </w:p>
    <w:p w14:paraId="67162EDE" w14:textId="77777777" w:rsidR="000825DC" w:rsidRPr="000825DC" w:rsidRDefault="000825DC" w:rsidP="000825DC">
      <w:pPr>
        <w:numPr>
          <w:ilvl w:val="0"/>
          <w:numId w:val="26"/>
        </w:numPr>
        <w:tabs>
          <w:tab w:val="clear" w:pos="720"/>
          <w:tab w:val="num" w:pos="360"/>
        </w:tabs>
        <w:ind w:left="360"/>
      </w:pPr>
      <w:r w:rsidRPr="000825DC">
        <w:t>Ensure the provision of authoritative, expert advice to key stakeholders at all levels to identify, manage and mitigate risks across the Department with respect to strategic and operational matters. </w:t>
      </w:r>
    </w:p>
    <w:p w14:paraId="5910EABD" w14:textId="77777777" w:rsidR="000825DC" w:rsidRPr="000825DC" w:rsidRDefault="000825DC" w:rsidP="000825DC">
      <w:pPr>
        <w:numPr>
          <w:ilvl w:val="0"/>
          <w:numId w:val="27"/>
        </w:numPr>
        <w:tabs>
          <w:tab w:val="clear" w:pos="720"/>
          <w:tab w:val="num" w:pos="360"/>
        </w:tabs>
        <w:ind w:left="360"/>
      </w:pPr>
      <w:r w:rsidRPr="000825DC">
        <w:t>Evolve the maturity of risk and compliance strategies, frameworks and reporting, including by leading initiatives to change processes and enhance digital system functionality. </w:t>
      </w:r>
    </w:p>
    <w:p w14:paraId="790A4AAB" w14:textId="77777777" w:rsidR="000825DC" w:rsidRPr="000825DC" w:rsidRDefault="000825DC" w:rsidP="000825DC">
      <w:pPr>
        <w:numPr>
          <w:ilvl w:val="0"/>
          <w:numId w:val="28"/>
        </w:numPr>
        <w:tabs>
          <w:tab w:val="clear" w:pos="720"/>
          <w:tab w:val="num" w:pos="360"/>
        </w:tabs>
        <w:ind w:left="360"/>
      </w:pPr>
      <w:r w:rsidRPr="000825DC">
        <w:t>Engage across divisions and advise the Department and Audit and Risk Committee about contemporary approaches to managing and reporting on risk.  </w:t>
      </w:r>
    </w:p>
    <w:p w14:paraId="1ADF858C" w14:textId="77777777" w:rsidR="000825DC" w:rsidRPr="000825DC" w:rsidRDefault="000825DC" w:rsidP="000825DC">
      <w:pPr>
        <w:numPr>
          <w:ilvl w:val="0"/>
          <w:numId w:val="29"/>
        </w:numPr>
        <w:tabs>
          <w:tab w:val="clear" w:pos="720"/>
          <w:tab w:val="num" w:pos="360"/>
        </w:tabs>
        <w:ind w:left="360"/>
      </w:pPr>
      <w:r w:rsidRPr="000825DC">
        <w:t>Monitor the implementation of risk treatment action plans and assesses the effectiveness of controls. </w:t>
      </w:r>
    </w:p>
    <w:p w14:paraId="0C13166B" w14:textId="77777777" w:rsidR="000825DC" w:rsidRPr="000825DC" w:rsidRDefault="000825DC" w:rsidP="000825DC">
      <w:pPr>
        <w:numPr>
          <w:ilvl w:val="0"/>
          <w:numId w:val="30"/>
        </w:numPr>
        <w:tabs>
          <w:tab w:val="clear" w:pos="720"/>
          <w:tab w:val="num" w:pos="360"/>
        </w:tabs>
        <w:ind w:left="360"/>
      </w:pPr>
      <w:r w:rsidRPr="000825DC">
        <w:t>Develop the three-year strategic internal audit plan and annual audit plans, coordinate delivery of the annual Internal Audit Plan with the Internal Audit service provider. </w:t>
      </w:r>
    </w:p>
    <w:p w14:paraId="534FB015" w14:textId="77777777" w:rsidR="000825DC" w:rsidRPr="000825DC" w:rsidRDefault="000825DC" w:rsidP="000825DC">
      <w:pPr>
        <w:numPr>
          <w:ilvl w:val="0"/>
          <w:numId w:val="31"/>
        </w:numPr>
        <w:tabs>
          <w:tab w:val="clear" w:pos="720"/>
          <w:tab w:val="num" w:pos="360"/>
        </w:tabs>
        <w:ind w:left="360"/>
      </w:pPr>
      <w:r w:rsidRPr="000825DC">
        <w:t>Oversee the outsourced internal audit function that provides independent assurance that the Department’s risk management, governance and internal control processes are operating effectively.  </w:t>
      </w:r>
    </w:p>
    <w:p w14:paraId="3322EBB9" w14:textId="77777777" w:rsidR="000825DC" w:rsidRPr="000825DC" w:rsidRDefault="000825DC" w:rsidP="000825DC">
      <w:pPr>
        <w:numPr>
          <w:ilvl w:val="0"/>
          <w:numId w:val="32"/>
        </w:numPr>
        <w:tabs>
          <w:tab w:val="clear" w:pos="720"/>
          <w:tab w:val="num" w:pos="360"/>
        </w:tabs>
        <w:ind w:left="360"/>
      </w:pPr>
      <w:r w:rsidRPr="000825DC">
        <w:t>Manage the compliance and actions of audit findings through a systematic and engaging approach.  </w:t>
      </w:r>
    </w:p>
    <w:p w14:paraId="5DB9E6BB" w14:textId="77777777" w:rsidR="000825DC" w:rsidRPr="000825DC" w:rsidRDefault="000825DC" w:rsidP="000825DC">
      <w:pPr>
        <w:numPr>
          <w:ilvl w:val="0"/>
          <w:numId w:val="33"/>
        </w:numPr>
        <w:tabs>
          <w:tab w:val="clear" w:pos="720"/>
          <w:tab w:val="num" w:pos="360"/>
        </w:tabs>
        <w:ind w:left="360"/>
      </w:pPr>
      <w:r w:rsidRPr="000825DC">
        <w:t>Participate and facilitate external audits as required.   </w:t>
      </w:r>
    </w:p>
    <w:p w14:paraId="3FD57B8F" w14:textId="77777777" w:rsidR="000825DC" w:rsidRPr="000825DC" w:rsidRDefault="000825DC" w:rsidP="000825DC">
      <w:pPr>
        <w:numPr>
          <w:ilvl w:val="0"/>
          <w:numId w:val="34"/>
        </w:numPr>
        <w:tabs>
          <w:tab w:val="clear" w:pos="720"/>
          <w:tab w:val="num" w:pos="360"/>
        </w:tabs>
        <w:ind w:left="360"/>
      </w:pPr>
      <w:r w:rsidRPr="000825DC">
        <w:t>Manage the secretarial duties to the Audit and Risk Management Committee (ARMC), including the quarterly convening of the ARMC according to the charter and work plan. </w:t>
      </w:r>
    </w:p>
    <w:p w14:paraId="7BF1FECD" w14:textId="77777777" w:rsidR="000825DC" w:rsidRPr="000825DC" w:rsidRDefault="000825DC" w:rsidP="000825DC">
      <w:pPr>
        <w:numPr>
          <w:ilvl w:val="0"/>
          <w:numId w:val="35"/>
        </w:numPr>
        <w:tabs>
          <w:tab w:val="clear" w:pos="720"/>
          <w:tab w:val="num" w:pos="360"/>
        </w:tabs>
        <w:ind w:left="360"/>
      </w:pPr>
      <w:r w:rsidRPr="000825DC">
        <w:t>Creates a climate for process and systems optimisation and change; advocates for strategic initiatives that deliver improved risk and business continuity management outcomes for the Department. </w:t>
      </w:r>
    </w:p>
    <w:p w14:paraId="0DC90738" w14:textId="77777777" w:rsidR="000825DC" w:rsidRPr="000825DC" w:rsidRDefault="000825DC" w:rsidP="000825DC">
      <w:pPr>
        <w:numPr>
          <w:ilvl w:val="0"/>
          <w:numId w:val="36"/>
        </w:numPr>
        <w:tabs>
          <w:tab w:val="clear" w:pos="720"/>
          <w:tab w:val="num" w:pos="360"/>
        </w:tabs>
        <w:ind w:left="360"/>
      </w:pPr>
      <w:r w:rsidRPr="000825DC">
        <w:lastRenderedPageBreak/>
        <w:t>Identify and analyse gaps in organisational capability to design and deliver tailored training programs that build on current knowledge to embed approved methodologies and facilitate improved maturity across the Department. </w:t>
      </w:r>
    </w:p>
    <w:p w14:paraId="7426B5D9" w14:textId="77777777" w:rsidR="000825DC" w:rsidRPr="000825DC" w:rsidRDefault="000825DC" w:rsidP="000825DC">
      <w:pPr>
        <w:numPr>
          <w:ilvl w:val="0"/>
          <w:numId w:val="37"/>
        </w:numPr>
        <w:tabs>
          <w:tab w:val="clear" w:pos="720"/>
          <w:tab w:val="num" w:pos="360"/>
        </w:tabs>
        <w:ind w:left="360"/>
      </w:pPr>
      <w:r w:rsidRPr="000825DC">
        <w:t>Other duties as required in accordance with strategic objectives, business plans, local workload priorities and performance management plans</w:t>
      </w:r>
    </w:p>
    <w:p w14:paraId="32AF7670" w14:textId="3FD4712F" w:rsidR="00756536" w:rsidRPr="00070651" w:rsidRDefault="00F167A5" w:rsidP="00C47631">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0CFFA4BE" w14:textId="77777777" w:rsidR="009A0C1E" w:rsidRPr="009A0C1E" w:rsidRDefault="009A0C1E" w:rsidP="00016129">
      <w:pPr>
        <w:pStyle w:val="Heading2"/>
        <w:spacing w:before="0"/>
        <w:rPr>
          <w:sz w:val="24"/>
          <w:szCs w:val="24"/>
        </w:rPr>
      </w:pPr>
      <w:r w:rsidRPr="009A0C1E">
        <w:rPr>
          <w:sz w:val="24"/>
          <w:szCs w:val="24"/>
        </w:rPr>
        <w:t xml:space="preserve">Building Leadership Impact </w:t>
      </w:r>
    </w:p>
    <w:p w14:paraId="27CBD141" w14:textId="32463B7A" w:rsidR="000825DC" w:rsidRPr="000825DC" w:rsidRDefault="000825DC" w:rsidP="00016129">
      <w:pPr>
        <w:pStyle w:val="Heading2"/>
        <w:spacing w:before="0"/>
        <w:rPr>
          <w:b w:val="0"/>
          <w:bCs/>
          <w:color w:val="auto"/>
          <w:sz w:val="24"/>
          <w:szCs w:val="24"/>
        </w:rPr>
      </w:pPr>
      <w:r w:rsidRPr="000825DC">
        <w:rPr>
          <w:b w:val="0"/>
          <w:bCs/>
          <w:color w:val="auto"/>
          <w:sz w:val="24"/>
          <w:szCs w:val="24"/>
        </w:rPr>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tgtFrame="_blank" w:history="1">
        <w:r w:rsidRPr="000825DC">
          <w:rPr>
            <w:rStyle w:val="Hyperlink"/>
            <w:b w:val="0"/>
            <w:bCs/>
            <w:color w:val="auto"/>
            <w:szCs w:val="24"/>
          </w:rPr>
          <w:t>Building Leadership Impact</w:t>
        </w:r>
      </w:hyperlink>
      <w:r w:rsidRPr="000825DC">
        <w:rPr>
          <w:b w:val="0"/>
          <w:bCs/>
          <w:color w:val="auto"/>
          <w:sz w:val="24"/>
          <w:szCs w:val="24"/>
        </w:rPr>
        <w:t xml:space="preserve"> and described fully in </w:t>
      </w:r>
      <w:hyperlink r:id="rId12" w:tgtFrame="_blank" w:history="1">
        <w:r w:rsidRPr="000825DC">
          <w:rPr>
            <w:rStyle w:val="Hyperlink"/>
            <w:b w:val="0"/>
            <w:bCs/>
            <w:color w:val="auto"/>
            <w:szCs w:val="24"/>
          </w:rPr>
          <w:t>Leadership Expectations</w:t>
        </w:r>
      </w:hyperlink>
      <w:r w:rsidRPr="000825DC">
        <w:rPr>
          <w:b w:val="0"/>
          <w:bCs/>
          <w:color w:val="auto"/>
          <w:sz w:val="24"/>
          <w:szCs w:val="24"/>
        </w:rPr>
        <w:t>. </w:t>
      </w:r>
    </w:p>
    <w:p w14:paraId="51278547" w14:textId="17F33E64" w:rsidR="000825DC" w:rsidRPr="000825DC" w:rsidRDefault="000825DC" w:rsidP="000825DC">
      <w:pPr>
        <w:pStyle w:val="Heading2"/>
        <w:rPr>
          <w:b w:val="0"/>
          <w:bCs/>
          <w:color w:val="auto"/>
          <w:sz w:val="24"/>
          <w:szCs w:val="24"/>
        </w:rPr>
      </w:pPr>
      <w:r w:rsidRPr="000825DC">
        <w:rPr>
          <w:b w:val="0"/>
          <w:bCs/>
          <w:color w:val="auto"/>
          <w:sz w:val="24"/>
          <w:szCs w:val="24"/>
        </w:rPr>
        <w:t xml:space="preserve">The leadership context of this position is </w:t>
      </w:r>
      <w:hyperlink r:id="rId13" w:tgtFrame="_blank" w:history="1">
        <w:r w:rsidR="00BF4BDC" w:rsidRPr="00A94F60">
          <w:rPr>
            <w:rStyle w:val="Hyperlink"/>
            <w:b w:val="0"/>
            <w:bCs/>
            <w:szCs w:val="24"/>
          </w:rPr>
          <w:t>Leading</w:t>
        </w:r>
        <w:r w:rsidR="002921D6" w:rsidRPr="00A94F60">
          <w:rPr>
            <w:rStyle w:val="Hyperlink"/>
            <w:b w:val="0"/>
            <w:bCs/>
            <w:szCs w:val="24"/>
          </w:rPr>
          <w:t xml:space="preserve"> Others</w:t>
        </w:r>
        <w:r w:rsidR="00BF4BDC" w:rsidRPr="00A94F60">
          <w:rPr>
            <w:rStyle w:val="Hyperlink"/>
            <w:sz w:val="32"/>
            <w:u w:val="none"/>
          </w:rPr>
          <w:t xml:space="preserve"> </w:t>
        </w:r>
      </w:hyperlink>
      <w:r w:rsidRPr="000825DC">
        <w:rPr>
          <w:b w:val="0"/>
          <w:bCs/>
          <w:color w:val="auto"/>
          <w:sz w:val="24"/>
          <w:szCs w:val="24"/>
        </w:rPr>
        <w:t>and there are opportunities for professional development and growth. </w:t>
      </w:r>
    </w:p>
    <w:p w14:paraId="53311947" w14:textId="18BEF484" w:rsidR="00B646FB" w:rsidRPr="00070651" w:rsidRDefault="007421AD" w:rsidP="00C47631">
      <w:pPr>
        <w:pStyle w:val="Heading2"/>
        <w:rPr>
          <w:sz w:val="24"/>
          <w:szCs w:val="24"/>
        </w:rPr>
      </w:pPr>
      <w:r>
        <w:rPr>
          <w:sz w:val="24"/>
          <w:szCs w:val="24"/>
        </w:rPr>
        <w:t>Work Related Capabilities (Selection Criteria)</w:t>
      </w:r>
    </w:p>
    <w:p w14:paraId="36878825" w14:textId="77777777" w:rsidR="00016129" w:rsidRPr="00016129" w:rsidRDefault="00016129" w:rsidP="00016129">
      <w:pPr>
        <w:numPr>
          <w:ilvl w:val="0"/>
          <w:numId w:val="38"/>
        </w:numPr>
        <w:tabs>
          <w:tab w:val="num" w:pos="720"/>
        </w:tabs>
      </w:pPr>
      <w:r w:rsidRPr="00016129">
        <w:t>Substantial experience in the leadership of enterprise-level risk management, risk assessments and business continuity strategies and frameworks within a large and complex organisation </w:t>
      </w:r>
    </w:p>
    <w:p w14:paraId="087EB708" w14:textId="77777777" w:rsidR="00016129" w:rsidRPr="00016129" w:rsidRDefault="00016129" w:rsidP="00016129">
      <w:pPr>
        <w:numPr>
          <w:ilvl w:val="0"/>
          <w:numId w:val="39"/>
        </w:numPr>
        <w:tabs>
          <w:tab w:val="num" w:pos="720"/>
        </w:tabs>
      </w:pPr>
      <w:r w:rsidRPr="00016129">
        <w:t>Ability to develop, manage and maintain collaborative stakeholder relationships in a diverse environment to improve service delivery and manage expectations </w:t>
      </w:r>
    </w:p>
    <w:p w14:paraId="00405B3E" w14:textId="77777777" w:rsidR="00016129" w:rsidRPr="00016129" w:rsidRDefault="00016129" w:rsidP="00016129">
      <w:pPr>
        <w:numPr>
          <w:ilvl w:val="0"/>
          <w:numId w:val="40"/>
        </w:numPr>
        <w:tabs>
          <w:tab w:val="num" w:pos="720"/>
        </w:tabs>
      </w:pPr>
      <w:r w:rsidRPr="00016129">
        <w:t>Highly developed conceptual, research, analytical and problem-solving skills, including initiative and the ability to identify issues and remedies.  </w:t>
      </w:r>
    </w:p>
    <w:p w14:paraId="3FF908E1" w14:textId="77777777" w:rsidR="00016129" w:rsidRPr="00016129" w:rsidRDefault="00016129" w:rsidP="00016129">
      <w:pPr>
        <w:numPr>
          <w:ilvl w:val="0"/>
          <w:numId w:val="41"/>
        </w:numPr>
        <w:tabs>
          <w:tab w:val="num" w:pos="720"/>
        </w:tabs>
      </w:pPr>
      <w:r w:rsidRPr="00016129">
        <w:t>Ability to prepare presentations, written reports, briefing papers and educational material on complex matters for a range of audiences. </w:t>
      </w:r>
    </w:p>
    <w:p w14:paraId="4FD671C9" w14:textId="77777777" w:rsidR="00016129" w:rsidRPr="00016129" w:rsidRDefault="00016129" w:rsidP="00016129">
      <w:pPr>
        <w:numPr>
          <w:ilvl w:val="0"/>
          <w:numId w:val="42"/>
        </w:numPr>
        <w:tabs>
          <w:tab w:val="num" w:pos="720"/>
        </w:tabs>
      </w:pPr>
      <w:r w:rsidRPr="00016129">
        <w:t>Demonstrated ability to work collaboratively within a team environment by sharing knowledge and experience while contributing to the achievement of team goals and objectives.  </w:t>
      </w:r>
    </w:p>
    <w:p w14:paraId="16F1B290" w14:textId="77777777" w:rsidR="00016129" w:rsidRPr="00016129" w:rsidRDefault="00016129" w:rsidP="00016129">
      <w:r w:rsidRPr="00016129">
        <w:rPr>
          <w:b/>
          <w:bCs/>
        </w:rPr>
        <w:t>Desirable: </w:t>
      </w:r>
      <w:r w:rsidRPr="00016129">
        <w:t> </w:t>
      </w:r>
    </w:p>
    <w:p w14:paraId="515C0D96" w14:textId="77777777" w:rsidR="00016129" w:rsidRPr="00016129" w:rsidRDefault="00016129" w:rsidP="00016129">
      <w:r w:rsidRPr="00016129">
        <w:t>1. Tertiary qualification in a relevant discipline.  </w:t>
      </w:r>
    </w:p>
    <w:p w14:paraId="53821413" w14:textId="77777777" w:rsidR="00016129" w:rsidRPr="00016129" w:rsidRDefault="00016129" w:rsidP="00016129">
      <w:r w:rsidRPr="00016129">
        <w:t>2. Membership of the Risk Management Institute of Australasia, or similar. </w:t>
      </w:r>
    </w:p>
    <w:p w14:paraId="4A358A35" w14:textId="287744EE" w:rsidR="00016129" w:rsidRPr="00446264" w:rsidRDefault="00446264" w:rsidP="005A2701">
      <w:pPr>
        <w:rPr>
          <w:b/>
          <w:bCs/>
        </w:rPr>
      </w:pPr>
      <w:r w:rsidRPr="00446264">
        <w:rPr>
          <w:b/>
          <w:bCs/>
        </w:rPr>
        <w:t>Special Employment requirements:</w:t>
      </w:r>
    </w:p>
    <w:p w14:paraId="08AD7D3F" w14:textId="77777777" w:rsidR="00446264" w:rsidRPr="00D007E3" w:rsidRDefault="00446264" w:rsidP="00446264">
      <w:r>
        <w:lastRenderedPageBreak/>
        <w:t>For permanent appointments y</w:t>
      </w:r>
      <w:r w:rsidRPr="00070651">
        <w:t xml:space="preserve">ou must also be eligible to live and work in Australia indefinitely. </w:t>
      </w:r>
      <w:r w:rsidRPr="00D007E3">
        <w:t xml:space="preserve">Employees engaged on fixed term appointments </w:t>
      </w:r>
      <w:r>
        <w:t>need</w:t>
      </w:r>
      <w:r w:rsidRPr="00D007E3">
        <w:t xml:space="preserve"> a valid work visa for the duration of the</w:t>
      </w:r>
      <w:r>
        <w:t>ir</w:t>
      </w:r>
      <w:r w:rsidRPr="00D007E3">
        <w:t xml:space="preserve"> contract.</w:t>
      </w:r>
    </w:p>
    <w:p w14:paraId="02AA80C7" w14:textId="77777777" w:rsidR="00446264" w:rsidRDefault="00446264" w:rsidP="00446264">
      <w:r w:rsidRPr="00D007E3">
        <w:t xml:space="preserve">Appointment is </w:t>
      </w:r>
      <w:r>
        <w:t xml:space="preserve">also dependent on a </w:t>
      </w:r>
      <w:r w:rsidRPr="00D007E3">
        <w:t>100-point identification check and</w:t>
      </w:r>
      <w:r>
        <w:t xml:space="preserve"> </w:t>
      </w:r>
      <w:r w:rsidRPr="00D007E3">
        <w:t>Criminal Records Screening Clearance</w:t>
      </w:r>
      <w:r>
        <w:t>.</w:t>
      </w:r>
    </w:p>
    <w:p w14:paraId="7FA8C57E" w14:textId="77777777" w:rsidR="00446264" w:rsidRPr="004A3655" w:rsidRDefault="00446264" w:rsidP="005A2701"/>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3884FF37" w14:textId="77777777" w:rsidR="004B2309" w:rsidRDefault="004B2309" w:rsidP="004B2309"/>
          <w:p w14:paraId="019B14E0" w14:textId="55D2C1C9"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78240578" w:rsidR="005A2701" w:rsidRPr="00070651" w:rsidRDefault="00AC73F2" w:rsidP="0033476B">
            <w:pPr>
              <w:pStyle w:val="Heading3"/>
              <w:ind w:hanging="113"/>
              <w:rPr>
                <w:sz w:val="24"/>
              </w:rPr>
            </w:pPr>
            <w:r w:rsidRPr="00070651">
              <w:rPr>
                <w:sz w:val="24"/>
              </w:rPr>
              <w:t>D</w:t>
            </w:r>
            <w:r w:rsidR="005A2701" w:rsidRPr="00070651">
              <w:rPr>
                <w:sz w:val="24"/>
              </w:rPr>
              <w:t>ate:</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5C18" w14:textId="77777777" w:rsidR="00F02D53" w:rsidRDefault="00F02D53" w:rsidP="00756536">
      <w:pPr>
        <w:spacing w:after="0" w:line="240" w:lineRule="auto"/>
      </w:pPr>
      <w:r>
        <w:separator/>
      </w:r>
    </w:p>
  </w:endnote>
  <w:endnote w:type="continuationSeparator" w:id="0">
    <w:p w14:paraId="2190F313" w14:textId="77777777" w:rsidR="00F02D53" w:rsidRDefault="00F02D53"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FAE7" w14:textId="77777777" w:rsidR="00F02D53" w:rsidRDefault="00F02D53" w:rsidP="00756536">
      <w:pPr>
        <w:spacing w:after="0" w:line="240" w:lineRule="auto"/>
      </w:pPr>
      <w:r>
        <w:separator/>
      </w:r>
    </w:p>
  </w:footnote>
  <w:footnote w:type="continuationSeparator" w:id="0">
    <w:p w14:paraId="31FAA51A" w14:textId="77777777" w:rsidR="00F02D53" w:rsidRDefault="00F02D53"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51C3B668">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40092370"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15E"/>
    <w:multiLevelType w:val="multilevel"/>
    <w:tmpl w:val="27F448D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8373B7"/>
    <w:multiLevelType w:val="multilevel"/>
    <w:tmpl w:val="E7E84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8F832EB"/>
    <w:multiLevelType w:val="hybridMultilevel"/>
    <w:tmpl w:val="6156A260"/>
    <w:lvl w:ilvl="0" w:tplc="C69A78E2">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626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E86E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7613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92B7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AE5B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DE11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1466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223A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3B2BCC"/>
    <w:multiLevelType w:val="multilevel"/>
    <w:tmpl w:val="F04E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D2180E"/>
    <w:multiLevelType w:val="hybridMultilevel"/>
    <w:tmpl w:val="1CD09BA4"/>
    <w:lvl w:ilvl="0" w:tplc="79D67FB6">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0652D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4A3E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2E71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C0DC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F0A9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769A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B4EC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C2AB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70A765F"/>
    <w:multiLevelType w:val="multilevel"/>
    <w:tmpl w:val="BEF8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9362FB"/>
    <w:multiLevelType w:val="multilevel"/>
    <w:tmpl w:val="1418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C05BC9"/>
    <w:multiLevelType w:val="multilevel"/>
    <w:tmpl w:val="F840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11322"/>
    <w:multiLevelType w:val="multilevel"/>
    <w:tmpl w:val="4A4255F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C8E62FA"/>
    <w:multiLevelType w:val="multilevel"/>
    <w:tmpl w:val="D07A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D60B25"/>
    <w:multiLevelType w:val="multilevel"/>
    <w:tmpl w:val="63EEF9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2AF7685"/>
    <w:multiLevelType w:val="hybridMultilevel"/>
    <w:tmpl w:val="18EA1A44"/>
    <w:lvl w:ilvl="0" w:tplc="EFF8825C">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7419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BAF0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247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C02CA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CC03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2EB0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0079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2CDC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923022"/>
    <w:multiLevelType w:val="multilevel"/>
    <w:tmpl w:val="63D08CE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3B44FD"/>
    <w:multiLevelType w:val="multilevel"/>
    <w:tmpl w:val="C18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74187"/>
    <w:multiLevelType w:val="multilevel"/>
    <w:tmpl w:val="3DB6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E86638"/>
    <w:multiLevelType w:val="hybridMultilevel"/>
    <w:tmpl w:val="7CE49A8E"/>
    <w:lvl w:ilvl="0" w:tplc="D098ECD8">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465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02F8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BC15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F2608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DCAB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72D4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94AD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98F90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26350F"/>
    <w:multiLevelType w:val="multilevel"/>
    <w:tmpl w:val="98C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BD4134"/>
    <w:multiLevelType w:val="multilevel"/>
    <w:tmpl w:val="6986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1330BA"/>
    <w:multiLevelType w:val="multilevel"/>
    <w:tmpl w:val="1B4A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E843D7"/>
    <w:multiLevelType w:val="hybridMultilevel"/>
    <w:tmpl w:val="C5747D1E"/>
    <w:lvl w:ilvl="0" w:tplc="900E1322">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7C38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6045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DE9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6D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032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4CC2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9C35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288C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3C4739"/>
    <w:multiLevelType w:val="multilevel"/>
    <w:tmpl w:val="1988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6F09D4"/>
    <w:multiLevelType w:val="hybridMultilevel"/>
    <w:tmpl w:val="993C03A6"/>
    <w:lvl w:ilvl="0" w:tplc="34343964">
      <w:start w:val="1"/>
      <w:numFmt w:val="decimal"/>
      <w:lvlText w:val="%1."/>
      <w:lvlJc w:val="left"/>
      <w:pPr>
        <w:ind w:left="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28F264">
      <w:start w:val="1"/>
      <w:numFmt w:val="lowerLetter"/>
      <w:lvlText w:val="%2"/>
      <w:lvlJc w:val="left"/>
      <w:pPr>
        <w:ind w:left="1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4822AA">
      <w:start w:val="1"/>
      <w:numFmt w:val="lowerRoman"/>
      <w:lvlText w:val="%3"/>
      <w:lvlJc w:val="left"/>
      <w:pPr>
        <w:ind w:left="1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0476B0">
      <w:start w:val="1"/>
      <w:numFmt w:val="decimal"/>
      <w:lvlText w:val="%4"/>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946C5A">
      <w:start w:val="1"/>
      <w:numFmt w:val="lowerLetter"/>
      <w:lvlText w:val="%5"/>
      <w:lvlJc w:val="left"/>
      <w:pPr>
        <w:ind w:left="3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E613F0">
      <w:start w:val="1"/>
      <w:numFmt w:val="lowerRoman"/>
      <w:lvlText w:val="%6"/>
      <w:lvlJc w:val="left"/>
      <w:pPr>
        <w:ind w:left="3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D82A14">
      <w:start w:val="1"/>
      <w:numFmt w:val="decimal"/>
      <w:lvlText w:val="%7"/>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EE1F2A">
      <w:start w:val="1"/>
      <w:numFmt w:val="lowerLetter"/>
      <w:lvlText w:val="%8"/>
      <w:lvlJc w:val="left"/>
      <w:pPr>
        <w:ind w:left="5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52756A">
      <w:start w:val="1"/>
      <w:numFmt w:val="lowerRoman"/>
      <w:lvlText w:val="%9"/>
      <w:lvlJc w:val="left"/>
      <w:pPr>
        <w:ind w:left="6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6555F9"/>
    <w:multiLevelType w:val="multilevel"/>
    <w:tmpl w:val="047C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40" w15:restartNumberingAfterBreak="0">
    <w:nsid w:val="7F8552FB"/>
    <w:multiLevelType w:val="multilevel"/>
    <w:tmpl w:val="7F8EDA9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18785469">
    <w:abstractNumId w:val="12"/>
  </w:num>
  <w:num w:numId="2" w16cid:durableId="137627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8"/>
  </w:num>
  <w:num w:numId="4" w16cid:durableId="1326056679">
    <w:abstractNumId w:val="27"/>
  </w:num>
  <w:num w:numId="5" w16cid:durableId="165638337">
    <w:abstractNumId w:val="22"/>
  </w:num>
  <w:num w:numId="6" w16cid:durableId="1123695853">
    <w:abstractNumId w:val="21"/>
  </w:num>
  <w:num w:numId="7" w16cid:durableId="1581137968">
    <w:abstractNumId w:val="7"/>
  </w:num>
  <w:num w:numId="8" w16cid:durableId="210381380">
    <w:abstractNumId w:val="11"/>
  </w:num>
  <w:num w:numId="9" w16cid:durableId="1667249357">
    <w:abstractNumId w:val="39"/>
  </w:num>
  <w:num w:numId="10" w16cid:durableId="1636334645">
    <w:abstractNumId w:val="25"/>
  </w:num>
  <w:num w:numId="11" w16cid:durableId="1816409002">
    <w:abstractNumId w:val="18"/>
  </w:num>
  <w:num w:numId="12" w16cid:durableId="1771470451">
    <w:abstractNumId w:val="19"/>
  </w:num>
  <w:num w:numId="13" w16cid:durableId="2042582278">
    <w:abstractNumId w:val="36"/>
  </w:num>
  <w:num w:numId="14" w16cid:durableId="301085470">
    <w:abstractNumId w:val="28"/>
  </w:num>
  <w:num w:numId="15" w16cid:durableId="24185399">
    <w:abstractNumId w:val="4"/>
  </w:num>
  <w:num w:numId="16" w16cid:durableId="169490687">
    <w:abstractNumId w:val="24"/>
  </w:num>
  <w:num w:numId="17" w16cid:durableId="629700953">
    <w:abstractNumId w:val="3"/>
  </w:num>
  <w:num w:numId="18" w16cid:durableId="1341004227">
    <w:abstractNumId w:val="32"/>
  </w:num>
  <w:num w:numId="19" w16cid:durableId="2051873794">
    <w:abstractNumId w:val="6"/>
  </w:num>
  <w:num w:numId="20" w16cid:durableId="1407992069">
    <w:abstractNumId w:val="29"/>
  </w:num>
  <w:num w:numId="21" w16cid:durableId="1340884851">
    <w:abstractNumId w:val="17"/>
  </w:num>
  <w:num w:numId="22" w16cid:durableId="1351755972">
    <w:abstractNumId w:val="2"/>
  </w:num>
  <w:num w:numId="23" w16cid:durableId="848368474">
    <w:abstractNumId w:val="34"/>
  </w:num>
  <w:num w:numId="24" w16cid:durableId="2075732783">
    <w:abstractNumId w:val="37"/>
  </w:num>
  <w:num w:numId="25" w16cid:durableId="270095579">
    <w:abstractNumId w:val="1"/>
  </w:num>
  <w:num w:numId="26" w16cid:durableId="143358562">
    <w:abstractNumId w:val="10"/>
  </w:num>
  <w:num w:numId="27" w16cid:durableId="1400322887">
    <w:abstractNumId w:val="23"/>
  </w:num>
  <w:num w:numId="28" w16cid:durableId="1994487023">
    <w:abstractNumId w:val="26"/>
  </w:num>
  <w:num w:numId="29" w16cid:durableId="998851620">
    <w:abstractNumId w:val="15"/>
  </w:num>
  <w:num w:numId="30" w16cid:durableId="1169439713">
    <w:abstractNumId w:val="35"/>
  </w:num>
  <w:num w:numId="31" w16cid:durableId="1768424343">
    <w:abstractNumId w:val="31"/>
  </w:num>
  <w:num w:numId="32" w16cid:durableId="573127699">
    <w:abstractNumId w:val="33"/>
  </w:num>
  <w:num w:numId="33" w16cid:durableId="1559433523">
    <w:abstractNumId w:val="30"/>
  </w:num>
  <w:num w:numId="34" w16cid:durableId="1400245479">
    <w:abstractNumId w:val="38"/>
  </w:num>
  <w:num w:numId="35" w16cid:durableId="1042360059">
    <w:abstractNumId w:val="9"/>
  </w:num>
  <w:num w:numId="36" w16cid:durableId="469058360">
    <w:abstractNumId w:val="13"/>
  </w:num>
  <w:num w:numId="37" w16cid:durableId="1130591320">
    <w:abstractNumId w:val="5"/>
  </w:num>
  <w:num w:numId="38" w16cid:durableId="46073848">
    <w:abstractNumId w:val="16"/>
  </w:num>
  <w:num w:numId="39" w16cid:durableId="1872256492">
    <w:abstractNumId w:val="0"/>
  </w:num>
  <w:num w:numId="40" w16cid:durableId="1946301960">
    <w:abstractNumId w:val="20"/>
  </w:num>
  <w:num w:numId="41" w16cid:durableId="1308708682">
    <w:abstractNumId w:val="40"/>
  </w:num>
  <w:num w:numId="42" w16cid:durableId="11148613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1480B"/>
    <w:rsid w:val="00016129"/>
    <w:rsid w:val="00021A3D"/>
    <w:rsid w:val="00025438"/>
    <w:rsid w:val="00044FF3"/>
    <w:rsid w:val="00051CBF"/>
    <w:rsid w:val="0006478A"/>
    <w:rsid w:val="00070651"/>
    <w:rsid w:val="000825DC"/>
    <w:rsid w:val="00083B4F"/>
    <w:rsid w:val="000A6FA1"/>
    <w:rsid w:val="000D0AF3"/>
    <w:rsid w:val="000D0F48"/>
    <w:rsid w:val="000F3608"/>
    <w:rsid w:val="00132369"/>
    <w:rsid w:val="001341B6"/>
    <w:rsid w:val="00145E44"/>
    <w:rsid w:val="001633FD"/>
    <w:rsid w:val="0016375B"/>
    <w:rsid w:val="001744F5"/>
    <w:rsid w:val="001A50FB"/>
    <w:rsid w:val="001B27CF"/>
    <w:rsid w:val="001B52F9"/>
    <w:rsid w:val="001B54FD"/>
    <w:rsid w:val="001B7A87"/>
    <w:rsid w:val="001B7CD1"/>
    <w:rsid w:val="001F6F34"/>
    <w:rsid w:val="00204930"/>
    <w:rsid w:val="002156DB"/>
    <w:rsid w:val="002342EF"/>
    <w:rsid w:val="00246EF2"/>
    <w:rsid w:val="0024718E"/>
    <w:rsid w:val="00253EB2"/>
    <w:rsid w:val="00260B8D"/>
    <w:rsid w:val="002656BC"/>
    <w:rsid w:val="00280169"/>
    <w:rsid w:val="00280C06"/>
    <w:rsid w:val="00283EB7"/>
    <w:rsid w:val="002843C7"/>
    <w:rsid w:val="002874CE"/>
    <w:rsid w:val="002921D6"/>
    <w:rsid w:val="002937C1"/>
    <w:rsid w:val="002956EB"/>
    <w:rsid w:val="00296FEC"/>
    <w:rsid w:val="002B657B"/>
    <w:rsid w:val="002D3E1E"/>
    <w:rsid w:val="002D3E24"/>
    <w:rsid w:val="002F64E9"/>
    <w:rsid w:val="00300C8A"/>
    <w:rsid w:val="0030375D"/>
    <w:rsid w:val="0033476B"/>
    <w:rsid w:val="003522C2"/>
    <w:rsid w:val="0036514A"/>
    <w:rsid w:val="00394896"/>
    <w:rsid w:val="003A12FE"/>
    <w:rsid w:val="003A3903"/>
    <w:rsid w:val="003A787A"/>
    <w:rsid w:val="003C1C26"/>
    <w:rsid w:val="003D0A66"/>
    <w:rsid w:val="00414112"/>
    <w:rsid w:val="00422282"/>
    <w:rsid w:val="0042389C"/>
    <w:rsid w:val="00430199"/>
    <w:rsid w:val="00430D2F"/>
    <w:rsid w:val="00431CB1"/>
    <w:rsid w:val="0043252D"/>
    <w:rsid w:val="00446264"/>
    <w:rsid w:val="00451463"/>
    <w:rsid w:val="00462800"/>
    <w:rsid w:val="004658EA"/>
    <w:rsid w:val="00471F7F"/>
    <w:rsid w:val="00477E21"/>
    <w:rsid w:val="00494398"/>
    <w:rsid w:val="00497F38"/>
    <w:rsid w:val="004A3655"/>
    <w:rsid w:val="004A4EC3"/>
    <w:rsid w:val="004B2309"/>
    <w:rsid w:val="004C7E95"/>
    <w:rsid w:val="004E000D"/>
    <w:rsid w:val="004E1073"/>
    <w:rsid w:val="004E2FC6"/>
    <w:rsid w:val="004F457E"/>
    <w:rsid w:val="005257D4"/>
    <w:rsid w:val="00536F4B"/>
    <w:rsid w:val="0057229A"/>
    <w:rsid w:val="005A2699"/>
    <w:rsid w:val="005A2701"/>
    <w:rsid w:val="005A7D8D"/>
    <w:rsid w:val="005B7C19"/>
    <w:rsid w:val="005E2416"/>
    <w:rsid w:val="005F483B"/>
    <w:rsid w:val="00601500"/>
    <w:rsid w:val="00607550"/>
    <w:rsid w:val="00631D31"/>
    <w:rsid w:val="00647E4B"/>
    <w:rsid w:val="00663B85"/>
    <w:rsid w:val="0067583E"/>
    <w:rsid w:val="0068175F"/>
    <w:rsid w:val="0068201A"/>
    <w:rsid w:val="00686F75"/>
    <w:rsid w:val="006947DB"/>
    <w:rsid w:val="006963C4"/>
    <w:rsid w:val="006A1E28"/>
    <w:rsid w:val="006C1C4D"/>
    <w:rsid w:val="006C2F8C"/>
    <w:rsid w:val="006D03B1"/>
    <w:rsid w:val="006F17A8"/>
    <w:rsid w:val="00721C5E"/>
    <w:rsid w:val="00727985"/>
    <w:rsid w:val="00731A5B"/>
    <w:rsid w:val="00733555"/>
    <w:rsid w:val="007421AD"/>
    <w:rsid w:val="00746389"/>
    <w:rsid w:val="0074753D"/>
    <w:rsid w:val="00756536"/>
    <w:rsid w:val="007734E6"/>
    <w:rsid w:val="0078067E"/>
    <w:rsid w:val="007814DE"/>
    <w:rsid w:val="007A0EFF"/>
    <w:rsid w:val="007A1F18"/>
    <w:rsid w:val="007B0CFF"/>
    <w:rsid w:val="007B2076"/>
    <w:rsid w:val="007D5860"/>
    <w:rsid w:val="007E7FB0"/>
    <w:rsid w:val="007F30BC"/>
    <w:rsid w:val="00814628"/>
    <w:rsid w:val="0084252E"/>
    <w:rsid w:val="008531F0"/>
    <w:rsid w:val="0088273B"/>
    <w:rsid w:val="00892424"/>
    <w:rsid w:val="008947AE"/>
    <w:rsid w:val="008A3F8E"/>
    <w:rsid w:val="008E0484"/>
    <w:rsid w:val="008E36D7"/>
    <w:rsid w:val="009075E2"/>
    <w:rsid w:val="009514B1"/>
    <w:rsid w:val="0095755A"/>
    <w:rsid w:val="00961CC9"/>
    <w:rsid w:val="00970CEE"/>
    <w:rsid w:val="00971722"/>
    <w:rsid w:val="009774E0"/>
    <w:rsid w:val="009A0C1E"/>
    <w:rsid w:val="009C0ED6"/>
    <w:rsid w:val="00A00DF9"/>
    <w:rsid w:val="00A146D2"/>
    <w:rsid w:val="00A2480E"/>
    <w:rsid w:val="00A254A1"/>
    <w:rsid w:val="00A268D5"/>
    <w:rsid w:val="00A274B9"/>
    <w:rsid w:val="00A40911"/>
    <w:rsid w:val="00A4228F"/>
    <w:rsid w:val="00A518E1"/>
    <w:rsid w:val="00A51E1F"/>
    <w:rsid w:val="00A72186"/>
    <w:rsid w:val="00A86D4C"/>
    <w:rsid w:val="00A93FF1"/>
    <w:rsid w:val="00A94F60"/>
    <w:rsid w:val="00A972A4"/>
    <w:rsid w:val="00AA416A"/>
    <w:rsid w:val="00AA4641"/>
    <w:rsid w:val="00AC584F"/>
    <w:rsid w:val="00AC73F2"/>
    <w:rsid w:val="00AE177C"/>
    <w:rsid w:val="00AE1B75"/>
    <w:rsid w:val="00AE5EBA"/>
    <w:rsid w:val="00B1554C"/>
    <w:rsid w:val="00B309FA"/>
    <w:rsid w:val="00B646FB"/>
    <w:rsid w:val="00B8027B"/>
    <w:rsid w:val="00B9204F"/>
    <w:rsid w:val="00B96037"/>
    <w:rsid w:val="00BB541C"/>
    <w:rsid w:val="00BC5C3F"/>
    <w:rsid w:val="00BD1B8C"/>
    <w:rsid w:val="00BE7DE3"/>
    <w:rsid w:val="00BF4BDC"/>
    <w:rsid w:val="00C12F9A"/>
    <w:rsid w:val="00C14680"/>
    <w:rsid w:val="00C15B56"/>
    <w:rsid w:val="00C201F1"/>
    <w:rsid w:val="00C26E45"/>
    <w:rsid w:val="00C45F38"/>
    <w:rsid w:val="00C47631"/>
    <w:rsid w:val="00C54A97"/>
    <w:rsid w:val="00C639AF"/>
    <w:rsid w:val="00C86886"/>
    <w:rsid w:val="00CA1096"/>
    <w:rsid w:val="00CD00BF"/>
    <w:rsid w:val="00CD0B02"/>
    <w:rsid w:val="00CE1783"/>
    <w:rsid w:val="00CF070B"/>
    <w:rsid w:val="00D007E3"/>
    <w:rsid w:val="00D074B4"/>
    <w:rsid w:val="00D173A8"/>
    <w:rsid w:val="00D2368C"/>
    <w:rsid w:val="00D718AA"/>
    <w:rsid w:val="00D71E76"/>
    <w:rsid w:val="00D732A5"/>
    <w:rsid w:val="00D7570D"/>
    <w:rsid w:val="00D801DC"/>
    <w:rsid w:val="00D92C9F"/>
    <w:rsid w:val="00DB08AF"/>
    <w:rsid w:val="00DF1A44"/>
    <w:rsid w:val="00DF4B7C"/>
    <w:rsid w:val="00DF7BA5"/>
    <w:rsid w:val="00E02BA3"/>
    <w:rsid w:val="00E14F0F"/>
    <w:rsid w:val="00E20BE0"/>
    <w:rsid w:val="00E23326"/>
    <w:rsid w:val="00E27148"/>
    <w:rsid w:val="00E4641B"/>
    <w:rsid w:val="00E61CE6"/>
    <w:rsid w:val="00E925E5"/>
    <w:rsid w:val="00EA11AC"/>
    <w:rsid w:val="00EA5F4E"/>
    <w:rsid w:val="00EC7340"/>
    <w:rsid w:val="00ED18BE"/>
    <w:rsid w:val="00ED68B9"/>
    <w:rsid w:val="00ED7D74"/>
    <w:rsid w:val="00EE13A1"/>
    <w:rsid w:val="00EF2F5D"/>
    <w:rsid w:val="00F02587"/>
    <w:rsid w:val="00F02D53"/>
    <w:rsid w:val="00F156D2"/>
    <w:rsid w:val="00F167A5"/>
    <w:rsid w:val="00F169DE"/>
    <w:rsid w:val="00F51C71"/>
    <w:rsid w:val="00F95B4C"/>
    <w:rsid w:val="00FA1359"/>
    <w:rsid w:val="00FA7287"/>
    <w:rsid w:val="00FB2D81"/>
    <w:rsid w:val="00FD7C45"/>
    <w:rsid w:val="00FE0D47"/>
    <w:rsid w:val="00FE5411"/>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styleId="UnresolvedMention">
    <w:name w:val="Unresolved Mention"/>
    <w:basedOn w:val="DefaultParagraphFont"/>
    <w:uiPriority w:val="99"/>
    <w:semiHidden/>
    <w:unhideWhenUsed/>
    <w:rsid w:val="00082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22070">
      <w:bodyDiv w:val="1"/>
      <w:marLeft w:val="0"/>
      <w:marRight w:val="0"/>
      <w:marTop w:val="0"/>
      <w:marBottom w:val="0"/>
      <w:divBdr>
        <w:top w:val="none" w:sz="0" w:space="0" w:color="auto"/>
        <w:left w:val="none" w:sz="0" w:space="0" w:color="auto"/>
        <w:bottom w:val="none" w:sz="0" w:space="0" w:color="auto"/>
        <w:right w:val="none" w:sz="0" w:space="0" w:color="auto"/>
      </w:divBdr>
    </w:div>
    <w:div w:id="524752919">
      <w:bodyDiv w:val="1"/>
      <w:marLeft w:val="0"/>
      <w:marRight w:val="0"/>
      <w:marTop w:val="0"/>
      <w:marBottom w:val="0"/>
      <w:divBdr>
        <w:top w:val="none" w:sz="0" w:space="0" w:color="auto"/>
        <w:left w:val="none" w:sz="0" w:space="0" w:color="auto"/>
        <w:bottom w:val="none" w:sz="0" w:space="0" w:color="auto"/>
        <w:right w:val="none" w:sz="0" w:space="0" w:color="auto"/>
      </w:divBdr>
    </w:div>
    <w:div w:id="533077094">
      <w:bodyDiv w:val="1"/>
      <w:marLeft w:val="0"/>
      <w:marRight w:val="0"/>
      <w:marTop w:val="0"/>
      <w:marBottom w:val="0"/>
      <w:divBdr>
        <w:top w:val="none" w:sz="0" w:space="0" w:color="auto"/>
        <w:left w:val="none" w:sz="0" w:space="0" w:color="auto"/>
        <w:bottom w:val="none" w:sz="0" w:space="0" w:color="auto"/>
        <w:right w:val="none" w:sz="0" w:space="0" w:color="auto"/>
      </w:divBdr>
      <w:divsChild>
        <w:div w:id="872424598">
          <w:marLeft w:val="0"/>
          <w:marRight w:val="0"/>
          <w:marTop w:val="0"/>
          <w:marBottom w:val="0"/>
          <w:divBdr>
            <w:top w:val="none" w:sz="0" w:space="0" w:color="auto"/>
            <w:left w:val="none" w:sz="0" w:space="0" w:color="auto"/>
            <w:bottom w:val="none" w:sz="0" w:space="0" w:color="auto"/>
            <w:right w:val="none" w:sz="0" w:space="0" w:color="auto"/>
          </w:divBdr>
        </w:div>
        <w:div w:id="455638408">
          <w:marLeft w:val="0"/>
          <w:marRight w:val="0"/>
          <w:marTop w:val="0"/>
          <w:marBottom w:val="0"/>
          <w:divBdr>
            <w:top w:val="none" w:sz="0" w:space="0" w:color="auto"/>
            <w:left w:val="none" w:sz="0" w:space="0" w:color="auto"/>
            <w:bottom w:val="none" w:sz="0" w:space="0" w:color="auto"/>
            <w:right w:val="none" w:sz="0" w:space="0" w:color="auto"/>
          </w:divBdr>
        </w:div>
        <w:div w:id="1709257228">
          <w:marLeft w:val="0"/>
          <w:marRight w:val="0"/>
          <w:marTop w:val="0"/>
          <w:marBottom w:val="0"/>
          <w:divBdr>
            <w:top w:val="none" w:sz="0" w:space="0" w:color="auto"/>
            <w:left w:val="none" w:sz="0" w:space="0" w:color="auto"/>
            <w:bottom w:val="none" w:sz="0" w:space="0" w:color="auto"/>
            <w:right w:val="none" w:sz="0" w:space="0" w:color="auto"/>
          </w:divBdr>
        </w:div>
      </w:divsChild>
    </w:div>
    <w:div w:id="739717496">
      <w:bodyDiv w:val="1"/>
      <w:marLeft w:val="0"/>
      <w:marRight w:val="0"/>
      <w:marTop w:val="0"/>
      <w:marBottom w:val="0"/>
      <w:divBdr>
        <w:top w:val="none" w:sz="0" w:space="0" w:color="auto"/>
        <w:left w:val="none" w:sz="0" w:space="0" w:color="auto"/>
        <w:bottom w:val="none" w:sz="0" w:space="0" w:color="auto"/>
        <w:right w:val="none" w:sz="0" w:space="0" w:color="auto"/>
      </w:divBdr>
      <w:divsChild>
        <w:div w:id="564418033">
          <w:marLeft w:val="0"/>
          <w:marRight w:val="0"/>
          <w:marTop w:val="0"/>
          <w:marBottom w:val="0"/>
          <w:divBdr>
            <w:top w:val="none" w:sz="0" w:space="0" w:color="auto"/>
            <w:left w:val="none" w:sz="0" w:space="0" w:color="auto"/>
            <w:bottom w:val="none" w:sz="0" w:space="0" w:color="auto"/>
            <w:right w:val="none" w:sz="0" w:space="0" w:color="auto"/>
          </w:divBdr>
        </w:div>
        <w:div w:id="764156278">
          <w:marLeft w:val="0"/>
          <w:marRight w:val="0"/>
          <w:marTop w:val="0"/>
          <w:marBottom w:val="0"/>
          <w:divBdr>
            <w:top w:val="none" w:sz="0" w:space="0" w:color="auto"/>
            <w:left w:val="none" w:sz="0" w:space="0" w:color="auto"/>
            <w:bottom w:val="none" w:sz="0" w:space="0" w:color="auto"/>
            <w:right w:val="none" w:sz="0" w:space="0" w:color="auto"/>
          </w:divBdr>
        </w:div>
        <w:div w:id="1120338845">
          <w:marLeft w:val="0"/>
          <w:marRight w:val="0"/>
          <w:marTop w:val="0"/>
          <w:marBottom w:val="0"/>
          <w:divBdr>
            <w:top w:val="none" w:sz="0" w:space="0" w:color="auto"/>
            <w:left w:val="none" w:sz="0" w:space="0" w:color="auto"/>
            <w:bottom w:val="none" w:sz="0" w:space="0" w:color="auto"/>
            <w:right w:val="none" w:sz="0" w:space="0" w:color="auto"/>
          </w:divBdr>
        </w:div>
      </w:divsChild>
    </w:div>
    <w:div w:id="988753428">
      <w:bodyDiv w:val="1"/>
      <w:marLeft w:val="0"/>
      <w:marRight w:val="0"/>
      <w:marTop w:val="0"/>
      <w:marBottom w:val="0"/>
      <w:divBdr>
        <w:top w:val="none" w:sz="0" w:space="0" w:color="auto"/>
        <w:left w:val="none" w:sz="0" w:space="0" w:color="auto"/>
        <w:bottom w:val="none" w:sz="0" w:space="0" w:color="auto"/>
        <w:right w:val="none" w:sz="0" w:space="0" w:color="auto"/>
      </w:divBdr>
      <w:divsChild>
        <w:div w:id="782723389">
          <w:marLeft w:val="0"/>
          <w:marRight w:val="0"/>
          <w:marTop w:val="0"/>
          <w:marBottom w:val="0"/>
          <w:divBdr>
            <w:top w:val="none" w:sz="0" w:space="0" w:color="auto"/>
            <w:left w:val="none" w:sz="0" w:space="0" w:color="auto"/>
            <w:bottom w:val="none" w:sz="0" w:space="0" w:color="auto"/>
            <w:right w:val="none" w:sz="0" w:space="0" w:color="auto"/>
          </w:divBdr>
        </w:div>
        <w:div w:id="1707213602">
          <w:marLeft w:val="0"/>
          <w:marRight w:val="0"/>
          <w:marTop w:val="0"/>
          <w:marBottom w:val="0"/>
          <w:divBdr>
            <w:top w:val="none" w:sz="0" w:space="0" w:color="auto"/>
            <w:left w:val="none" w:sz="0" w:space="0" w:color="auto"/>
            <w:bottom w:val="none" w:sz="0" w:space="0" w:color="auto"/>
            <w:right w:val="none" w:sz="0" w:space="0" w:color="auto"/>
          </w:divBdr>
        </w:div>
      </w:divsChild>
    </w:div>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207108224">
      <w:bodyDiv w:val="1"/>
      <w:marLeft w:val="0"/>
      <w:marRight w:val="0"/>
      <w:marTop w:val="0"/>
      <w:marBottom w:val="0"/>
      <w:divBdr>
        <w:top w:val="none" w:sz="0" w:space="0" w:color="auto"/>
        <w:left w:val="none" w:sz="0" w:space="0" w:color="auto"/>
        <w:bottom w:val="none" w:sz="0" w:space="0" w:color="auto"/>
        <w:right w:val="none" w:sz="0" w:space="0" w:color="auto"/>
      </w:divBdr>
      <w:divsChild>
        <w:div w:id="1828401853">
          <w:marLeft w:val="0"/>
          <w:marRight w:val="0"/>
          <w:marTop w:val="0"/>
          <w:marBottom w:val="0"/>
          <w:divBdr>
            <w:top w:val="none" w:sz="0" w:space="0" w:color="auto"/>
            <w:left w:val="none" w:sz="0" w:space="0" w:color="auto"/>
            <w:bottom w:val="none" w:sz="0" w:space="0" w:color="auto"/>
            <w:right w:val="none" w:sz="0" w:space="0" w:color="auto"/>
          </w:divBdr>
        </w:div>
        <w:div w:id="13386977">
          <w:marLeft w:val="0"/>
          <w:marRight w:val="0"/>
          <w:marTop w:val="0"/>
          <w:marBottom w:val="0"/>
          <w:divBdr>
            <w:top w:val="none" w:sz="0" w:space="0" w:color="auto"/>
            <w:left w:val="none" w:sz="0" w:space="0" w:color="auto"/>
            <w:bottom w:val="none" w:sz="0" w:space="0" w:color="auto"/>
            <w:right w:val="none" w:sz="0" w:space="0" w:color="auto"/>
          </w:divBdr>
        </w:div>
        <w:div w:id="2090275539">
          <w:marLeft w:val="0"/>
          <w:marRight w:val="0"/>
          <w:marTop w:val="0"/>
          <w:marBottom w:val="0"/>
          <w:divBdr>
            <w:top w:val="none" w:sz="0" w:space="0" w:color="auto"/>
            <w:left w:val="none" w:sz="0" w:space="0" w:color="auto"/>
            <w:bottom w:val="none" w:sz="0" w:space="0" w:color="auto"/>
            <w:right w:val="none" w:sz="0" w:space="0" w:color="auto"/>
          </w:divBdr>
        </w:div>
      </w:divsChild>
    </w:div>
    <w:div w:id="1447234648">
      <w:bodyDiv w:val="1"/>
      <w:marLeft w:val="0"/>
      <w:marRight w:val="0"/>
      <w:marTop w:val="0"/>
      <w:marBottom w:val="0"/>
      <w:divBdr>
        <w:top w:val="none" w:sz="0" w:space="0" w:color="auto"/>
        <w:left w:val="none" w:sz="0" w:space="0" w:color="auto"/>
        <w:bottom w:val="none" w:sz="0" w:space="0" w:color="auto"/>
        <w:right w:val="none" w:sz="0" w:space="0" w:color="auto"/>
      </w:divBdr>
      <w:divsChild>
        <w:div w:id="1675110926">
          <w:marLeft w:val="0"/>
          <w:marRight w:val="0"/>
          <w:marTop w:val="0"/>
          <w:marBottom w:val="0"/>
          <w:divBdr>
            <w:top w:val="none" w:sz="0" w:space="0" w:color="auto"/>
            <w:left w:val="none" w:sz="0" w:space="0" w:color="auto"/>
            <w:bottom w:val="none" w:sz="0" w:space="0" w:color="auto"/>
            <w:right w:val="none" w:sz="0" w:space="0" w:color="auto"/>
          </w:divBdr>
        </w:div>
        <w:div w:id="2124372833">
          <w:marLeft w:val="0"/>
          <w:marRight w:val="0"/>
          <w:marTop w:val="0"/>
          <w:marBottom w:val="0"/>
          <w:divBdr>
            <w:top w:val="none" w:sz="0" w:space="0" w:color="auto"/>
            <w:left w:val="none" w:sz="0" w:space="0" w:color="auto"/>
            <w:bottom w:val="none" w:sz="0" w:space="0" w:color="auto"/>
            <w:right w:val="none" w:sz="0" w:space="0" w:color="auto"/>
          </w:divBdr>
        </w:div>
        <w:div w:id="452597828">
          <w:marLeft w:val="0"/>
          <w:marRight w:val="0"/>
          <w:marTop w:val="0"/>
          <w:marBottom w:val="0"/>
          <w:divBdr>
            <w:top w:val="none" w:sz="0" w:space="0" w:color="auto"/>
            <w:left w:val="none" w:sz="0" w:space="0" w:color="auto"/>
            <w:bottom w:val="none" w:sz="0" w:space="0" w:color="auto"/>
            <w:right w:val="none" w:sz="0" w:space="0" w:color="auto"/>
          </w:divBdr>
        </w:div>
        <w:div w:id="117334207">
          <w:marLeft w:val="0"/>
          <w:marRight w:val="0"/>
          <w:marTop w:val="0"/>
          <w:marBottom w:val="0"/>
          <w:divBdr>
            <w:top w:val="none" w:sz="0" w:space="0" w:color="auto"/>
            <w:left w:val="none" w:sz="0" w:space="0" w:color="auto"/>
            <w:bottom w:val="none" w:sz="0" w:space="0" w:color="auto"/>
            <w:right w:val="none" w:sz="0" w:space="0" w:color="auto"/>
          </w:divBdr>
        </w:div>
        <w:div w:id="595677405">
          <w:marLeft w:val="0"/>
          <w:marRight w:val="0"/>
          <w:marTop w:val="0"/>
          <w:marBottom w:val="0"/>
          <w:divBdr>
            <w:top w:val="none" w:sz="0" w:space="0" w:color="auto"/>
            <w:left w:val="none" w:sz="0" w:space="0" w:color="auto"/>
            <w:bottom w:val="none" w:sz="0" w:space="0" w:color="auto"/>
            <w:right w:val="none" w:sz="0" w:space="0" w:color="auto"/>
          </w:divBdr>
        </w:div>
      </w:divsChild>
    </w:div>
    <w:div w:id="1476025325">
      <w:bodyDiv w:val="1"/>
      <w:marLeft w:val="0"/>
      <w:marRight w:val="0"/>
      <w:marTop w:val="0"/>
      <w:marBottom w:val="0"/>
      <w:divBdr>
        <w:top w:val="none" w:sz="0" w:space="0" w:color="auto"/>
        <w:left w:val="none" w:sz="0" w:space="0" w:color="auto"/>
        <w:bottom w:val="none" w:sz="0" w:space="0" w:color="auto"/>
        <w:right w:val="none" w:sz="0" w:space="0" w:color="auto"/>
      </w:divBdr>
      <w:divsChild>
        <w:div w:id="954168400">
          <w:marLeft w:val="0"/>
          <w:marRight w:val="0"/>
          <w:marTop w:val="0"/>
          <w:marBottom w:val="0"/>
          <w:divBdr>
            <w:top w:val="none" w:sz="0" w:space="0" w:color="auto"/>
            <w:left w:val="none" w:sz="0" w:space="0" w:color="auto"/>
            <w:bottom w:val="none" w:sz="0" w:space="0" w:color="auto"/>
            <w:right w:val="none" w:sz="0" w:space="0" w:color="auto"/>
          </w:divBdr>
        </w:div>
        <w:div w:id="1129084929">
          <w:marLeft w:val="0"/>
          <w:marRight w:val="0"/>
          <w:marTop w:val="0"/>
          <w:marBottom w:val="0"/>
          <w:divBdr>
            <w:top w:val="none" w:sz="0" w:space="0" w:color="auto"/>
            <w:left w:val="none" w:sz="0" w:space="0" w:color="auto"/>
            <w:bottom w:val="none" w:sz="0" w:space="0" w:color="auto"/>
            <w:right w:val="none" w:sz="0" w:space="0" w:color="auto"/>
          </w:divBdr>
        </w:div>
      </w:divsChild>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634096531">
      <w:bodyDiv w:val="1"/>
      <w:marLeft w:val="0"/>
      <w:marRight w:val="0"/>
      <w:marTop w:val="0"/>
      <w:marBottom w:val="0"/>
      <w:divBdr>
        <w:top w:val="none" w:sz="0" w:space="0" w:color="auto"/>
        <w:left w:val="none" w:sz="0" w:space="0" w:color="auto"/>
        <w:bottom w:val="none" w:sz="0" w:space="0" w:color="auto"/>
        <w:right w:val="none" w:sz="0" w:space="0" w:color="auto"/>
      </w:divBdr>
      <w:divsChild>
        <w:div w:id="1370492688">
          <w:marLeft w:val="0"/>
          <w:marRight w:val="0"/>
          <w:marTop w:val="0"/>
          <w:marBottom w:val="0"/>
          <w:divBdr>
            <w:top w:val="none" w:sz="0" w:space="0" w:color="auto"/>
            <w:left w:val="none" w:sz="0" w:space="0" w:color="auto"/>
            <w:bottom w:val="none" w:sz="0" w:space="0" w:color="auto"/>
            <w:right w:val="none" w:sz="0" w:space="0" w:color="auto"/>
          </w:divBdr>
        </w:div>
        <w:div w:id="190388252">
          <w:marLeft w:val="0"/>
          <w:marRight w:val="0"/>
          <w:marTop w:val="0"/>
          <w:marBottom w:val="0"/>
          <w:divBdr>
            <w:top w:val="none" w:sz="0" w:space="0" w:color="auto"/>
            <w:left w:val="none" w:sz="0" w:space="0" w:color="auto"/>
            <w:bottom w:val="none" w:sz="0" w:space="0" w:color="auto"/>
            <w:right w:val="none" w:sz="0" w:space="0" w:color="auto"/>
          </w:divBdr>
        </w:div>
        <w:div w:id="399720628">
          <w:marLeft w:val="0"/>
          <w:marRight w:val="0"/>
          <w:marTop w:val="0"/>
          <w:marBottom w:val="0"/>
          <w:divBdr>
            <w:top w:val="none" w:sz="0" w:space="0" w:color="auto"/>
            <w:left w:val="none" w:sz="0" w:space="0" w:color="auto"/>
            <w:bottom w:val="none" w:sz="0" w:space="0" w:color="auto"/>
            <w:right w:val="none" w:sz="0" w:space="0" w:color="auto"/>
          </w:divBdr>
        </w:div>
        <w:div w:id="544415279">
          <w:marLeft w:val="0"/>
          <w:marRight w:val="0"/>
          <w:marTop w:val="0"/>
          <w:marBottom w:val="0"/>
          <w:divBdr>
            <w:top w:val="none" w:sz="0" w:space="0" w:color="auto"/>
            <w:left w:val="none" w:sz="0" w:space="0" w:color="auto"/>
            <w:bottom w:val="none" w:sz="0" w:space="0" w:color="auto"/>
            <w:right w:val="none" w:sz="0" w:space="0" w:color="auto"/>
          </w:divBdr>
        </w:div>
        <w:div w:id="752164198">
          <w:marLeft w:val="0"/>
          <w:marRight w:val="0"/>
          <w:marTop w:val="0"/>
          <w:marBottom w:val="0"/>
          <w:divBdr>
            <w:top w:val="none" w:sz="0" w:space="0" w:color="auto"/>
            <w:left w:val="none" w:sz="0" w:space="0" w:color="auto"/>
            <w:bottom w:val="none" w:sz="0" w:space="0" w:color="auto"/>
            <w:right w:val="none" w:sz="0" w:space="0" w:color="auto"/>
          </w:divBdr>
        </w:div>
      </w:divsChild>
    </w:div>
    <w:div w:id="1767190903">
      <w:bodyDiv w:val="1"/>
      <w:marLeft w:val="0"/>
      <w:marRight w:val="0"/>
      <w:marTop w:val="0"/>
      <w:marBottom w:val="0"/>
      <w:divBdr>
        <w:top w:val="none" w:sz="0" w:space="0" w:color="auto"/>
        <w:left w:val="none" w:sz="0" w:space="0" w:color="auto"/>
        <w:bottom w:val="none" w:sz="0" w:space="0" w:color="auto"/>
        <w:right w:val="none" w:sz="0" w:space="0" w:color="auto"/>
      </w:divBdr>
      <w:divsChild>
        <w:div w:id="1375469891">
          <w:marLeft w:val="0"/>
          <w:marRight w:val="0"/>
          <w:marTop w:val="0"/>
          <w:marBottom w:val="0"/>
          <w:divBdr>
            <w:top w:val="none" w:sz="0" w:space="0" w:color="auto"/>
            <w:left w:val="none" w:sz="0" w:space="0" w:color="auto"/>
            <w:bottom w:val="none" w:sz="0" w:space="0" w:color="auto"/>
            <w:right w:val="none" w:sz="0" w:space="0" w:color="auto"/>
          </w:divBdr>
        </w:div>
        <w:div w:id="1615597684">
          <w:marLeft w:val="0"/>
          <w:marRight w:val="0"/>
          <w:marTop w:val="0"/>
          <w:marBottom w:val="0"/>
          <w:divBdr>
            <w:top w:val="none" w:sz="0" w:space="0" w:color="auto"/>
            <w:left w:val="none" w:sz="0" w:space="0" w:color="auto"/>
            <w:bottom w:val="none" w:sz="0" w:space="0" w:color="auto"/>
            <w:right w:val="none" w:sz="0" w:space="0" w:color="auto"/>
          </w:divBdr>
        </w:div>
        <w:div w:id="1204755374">
          <w:marLeft w:val="0"/>
          <w:marRight w:val="0"/>
          <w:marTop w:val="0"/>
          <w:marBottom w:val="0"/>
          <w:divBdr>
            <w:top w:val="none" w:sz="0" w:space="0" w:color="auto"/>
            <w:left w:val="none" w:sz="0" w:space="0" w:color="auto"/>
            <w:bottom w:val="none" w:sz="0" w:space="0" w:color="auto"/>
            <w:right w:val="none" w:sz="0" w:space="0" w:color="auto"/>
          </w:divBdr>
        </w:div>
      </w:divsChild>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leading-other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904</Words>
  <Characters>5640</Characters>
  <Application>Microsoft Office Word</Application>
  <DocSecurity>0</DocSecurity>
  <Lines>125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Johnson, Jodie-Lee</cp:lastModifiedBy>
  <cp:revision>8</cp:revision>
  <cp:lastPrinted>2024-03-14T05:17:00Z</cp:lastPrinted>
  <dcterms:created xsi:type="dcterms:W3CDTF">2025-07-29T04:10:00Z</dcterms:created>
  <dcterms:modified xsi:type="dcterms:W3CDTF">2026-04-20T00:57:00Z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-1386798324</vt:i4>
  </property>
  <property fmtid="{D5CDD505-2E9C-101B-9397-08002B2CF9AE}" pid="10" name="_NewReviewCycle">
    <vt:lpwstr/>
  </property>
  <property fmtid="{D5CDD505-2E9C-101B-9397-08002B2CF9AE}" pid="11" name="_EmailSubject">
    <vt:lpwstr>Advertisement Development - Audit and Risk Governance Lead - DPC25051 - Level 7 - AV3204 - Response from People and Payroll Services [ID:0031734]</vt:lpwstr>
  </property>
  <property fmtid="{D5CDD505-2E9C-101B-9397-08002B2CF9AE}" pid="12" name="_AuthorEmail">
    <vt:lpwstr>Jodie-Lee.Johnson@dpc.wa.gov.au</vt:lpwstr>
  </property>
  <property fmtid="{D5CDD505-2E9C-101B-9397-08002B2CF9AE}" pid="13" name="_AuthorEmailDisplayName">
    <vt:lpwstr>Johnson, Jodie-Lee</vt:lpwstr>
  </property>
  <property fmtid="{D5CDD505-2E9C-101B-9397-08002B2CF9AE}" pid="14" name="_PreviousAdHocReviewCycleID">
    <vt:i4>1693404829</vt:i4>
  </property>
  <property fmtid="{D5CDD505-2E9C-101B-9397-08002B2CF9AE}" pid="15" name="ContentTypeId">
    <vt:lpwstr>0x01010070D56267112CDC4FB0D8582F58FF7CE1</vt:lpwstr>
  </property>
  <property fmtid="{D5CDD505-2E9C-101B-9397-08002B2CF9AE}" pid="16" name="_ReviewingToolsShownOnce">
    <vt:lpwstr/>
  </property>
</Properties>
</file>