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447F" w14:textId="77956F07" w:rsidR="005835D9" w:rsidRPr="004C3421" w:rsidRDefault="00C26E45" w:rsidP="00C26E45">
      <w:pPr>
        <w:spacing w:line="360" w:lineRule="auto"/>
        <w:rPr>
          <w:rFonts w:eastAsiaTheme="majorEastAsia" w:cs="Times New Roman (Headings CS)"/>
          <w:b/>
          <w:color w:val="CC5733"/>
          <w:sz w:val="30"/>
          <w:szCs w:val="30"/>
        </w:rPr>
      </w:pPr>
      <w:r w:rsidRPr="005A5579">
        <w:rPr>
          <w:rFonts w:eastAsiaTheme="majorEastAsia" w:cs="Times New Roman (Headings CS)"/>
          <w:b/>
          <w:color w:val="CC5733"/>
          <w:sz w:val="16"/>
          <w:szCs w:val="16"/>
        </w:rPr>
        <w:br/>
      </w:r>
      <w:r w:rsidR="005835D9" w:rsidRPr="004C3421">
        <w:rPr>
          <w:rFonts w:eastAsiaTheme="majorEastAsia" w:cs="Times New Roman (Headings CS)"/>
          <w:b/>
          <w:color w:val="CC5733"/>
          <w:sz w:val="30"/>
          <w:szCs w:val="30"/>
        </w:rPr>
        <w:t xml:space="preserve">Principal </w:t>
      </w:r>
      <w:r w:rsidR="00D867FD" w:rsidRPr="004C3421">
        <w:rPr>
          <w:rFonts w:eastAsiaTheme="majorEastAsia" w:cs="Times New Roman (Headings CS)"/>
          <w:b/>
          <w:color w:val="CC5733"/>
          <w:sz w:val="30"/>
          <w:szCs w:val="30"/>
        </w:rPr>
        <w:t xml:space="preserve">Finance Business Partner </w:t>
      </w:r>
      <w:r w:rsidR="0038541F">
        <w:rPr>
          <w:rFonts w:eastAsiaTheme="majorEastAsia" w:cs="Times New Roman (Headings CS)"/>
          <w:b/>
          <w:color w:val="CC5733"/>
          <w:sz w:val="30"/>
          <w:szCs w:val="30"/>
        </w:rPr>
        <w:t>(</w:t>
      </w:r>
      <w:r w:rsidR="00D867FD" w:rsidRPr="004C3421">
        <w:rPr>
          <w:rFonts w:eastAsiaTheme="majorEastAsia" w:cs="Times New Roman (Headings CS)"/>
          <w:b/>
          <w:color w:val="CC5733"/>
          <w:sz w:val="30"/>
          <w:szCs w:val="30"/>
        </w:rPr>
        <w:t>A</w:t>
      </w:r>
      <w:r w:rsidR="00000841" w:rsidRPr="004C3421">
        <w:rPr>
          <w:rFonts w:eastAsiaTheme="majorEastAsia" w:cs="Times New Roman (Headings CS)"/>
          <w:b/>
          <w:color w:val="CC5733"/>
          <w:sz w:val="30"/>
          <w:szCs w:val="30"/>
        </w:rPr>
        <w:t>boriginal Engagement</w:t>
      </w:r>
      <w:r w:rsidR="0038541F">
        <w:rPr>
          <w:rFonts w:eastAsiaTheme="majorEastAsia" w:cs="Times New Roman (Headings CS)"/>
          <w:b/>
          <w:color w:val="CC5733"/>
          <w:sz w:val="30"/>
          <w:szCs w:val="30"/>
        </w:rPr>
        <w:t>)</w:t>
      </w:r>
      <w:r w:rsidR="000204CF" w:rsidRPr="004C3421">
        <w:rPr>
          <w:rFonts w:eastAsiaTheme="majorEastAsia" w:cs="Times New Roman (Headings CS)"/>
          <w:b/>
          <w:color w:val="CC5733"/>
          <w:sz w:val="30"/>
          <w:szCs w:val="30"/>
        </w:rPr>
        <w:t xml:space="preserve"> Level 7 (DPC</w:t>
      </w:r>
      <w:r w:rsidR="0038541F">
        <w:rPr>
          <w:rFonts w:eastAsiaTheme="majorEastAsia" w:cs="Times New Roman (Headings CS)"/>
          <w:b/>
          <w:color w:val="CC5733"/>
          <w:sz w:val="30"/>
          <w:szCs w:val="30"/>
        </w:rPr>
        <w:t>26106</w:t>
      </w:r>
      <w:r w:rsidR="000204CF" w:rsidRPr="004C3421">
        <w:rPr>
          <w:rFonts w:eastAsiaTheme="majorEastAsia" w:cs="Times New Roman (Headings CS)"/>
          <w:b/>
          <w:color w:val="CC5733"/>
          <w:sz w:val="30"/>
          <w:szCs w:val="30"/>
        </w:rPr>
        <w:t>)</w:t>
      </w:r>
      <w:r w:rsidR="0038541F">
        <w:rPr>
          <w:rFonts w:eastAsiaTheme="majorEastAsia" w:cs="Times New Roman (Headings CS)"/>
          <w:b/>
          <w:color w:val="CC5733"/>
          <w:sz w:val="30"/>
          <w:szCs w:val="30"/>
        </w:rPr>
        <w:t xml:space="preserve"> </w:t>
      </w:r>
      <w:r w:rsidR="0038541F">
        <w:rPr>
          <w:rFonts w:eastAsiaTheme="majorEastAsia" w:cs="Times New Roman (Headings CS)"/>
          <w:b/>
          <w:color w:val="CC5733"/>
          <w:sz w:val="30"/>
          <w:szCs w:val="30"/>
        </w:rPr>
        <w:tab/>
      </w:r>
      <w:r w:rsidR="0038541F">
        <w:rPr>
          <w:rFonts w:eastAsiaTheme="majorEastAsia" w:cs="Times New Roman (Headings CS)"/>
          <w:b/>
          <w:color w:val="CC5733"/>
          <w:sz w:val="30"/>
          <w:szCs w:val="30"/>
        </w:rPr>
        <w:tab/>
      </w:r>
      <w:r w:rsidR="0038541F">
        <w:rPr>
          <w:rFonts w:eastAsiaTheme="majorEastAsia" w:cs="Times New Roman (Headings CS)"/>
          <w:b/>
          <w:color w:val="CC5733"/>
          <w:sz w:val="30"/>
          <w:szCs w:val="30"/>
        </w:rPr>
        <w:tab/>
      </w:r>
      <w:r w:rsidR="0038541F">
        <w:rPr>
          <w:rFonts w:eastAsiaTheme="majorEastAsia" w:cs="Times New Roman (Headings CS)"/>
          <w:b/>
          <w:color w:val="CC5733"/>
          <w:sz w:val="30"/>
          <w:szCs w:val="30"/>
        </w:rPr>
        <w:tab/>
      </w:r>
      <w:r w:rsidR="0038541F">
        <w:rPr>
          <w:rFonts w:eastAsiaTheme="majorEastAsia" w:cs="Times New Roman (Headings CS)"/>
          <w:b/>
          <w:color w:val="CC5733"/>
          <w:sz w:val="30"/>
          <w:szCs w:val="30"/>
        </w:rPr>
        <w:tab/>
      </w:r>
      <w:r w:rsidR="0038541F">
        <w:rPr>
          <w:rFonts w:eastAsiaTheme="majorEastAsia" w:cs="Times New Roman (Headings CS)"/>
          <w:b/>
          <w:color w:val="CC5733"/>
          <w:sz w:val="30"/>
          <w:szCs w:val="30"/>
        </w:rPr>
        <w:tab/>
      </w:r>
      <w:r w:rsidR="0038541F">
        <w:rPr>
          <w:rFonts w:eastAsiaTheme="majorEastAsia" w:cs="Times New Roman (Headings CS)"/>
          <w:b/>
          <w:color w:val="CC5733"/>
          <w:sz w:val="30"/>
          <w:szCs w:val="30"/>
        </w:rPr>
        <w:tab/>
      </w:r>
      <w:r w:rsidR="0038541F">
        <w:rPr>
          <w:rFonts w:eastAsiaTheme="majorEastAsia" w:cs="Times New Roman (Headings CS)"/>
          <w:b/>
          <w:color w:val="CC5733"/>
          <w:sz w:val="30"/>
          <w:szCs w:val="30"/>
        </w:rPr>
        <w:tab/>
      </w:r>
      <w:r w:rsidR="0038541F">
        <w:rPr>
          <w:rFonts w:eastAsiaTheme="majorEastAsia" w:cs="Times New Roman (Headings CS)"/>
          <w:b/>
          <w:color w:val="CC5733"/>
          <w:sz w:val="30"/>
          <w:szCs w:val="30"/>
        </w:rPr>
        <w:tab/>
      </w:r>
      <w:r w:rsidR="0038541F" w:rsidRPr="0038541F">
        <w:rPr>
          <w:rFonts w:eastAsiaTheme="majorEastAsia" w:cs="Times New Roman (Headings CS)"/>
          <w:bCs/>
          <w:color w:val="CC5733"/>
          <w:sz w:val="18"/>
          <w:szCs w:val="18"/>
        </w:rPr>
        <w:t>April 2025</w:t>
      </w: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15"/>
        <w:gridCol w:w="3167"/>
        <w:gridCol w:w="1984"/>
        <w:gridCol w:w="2840"/>
      </w:tblGrid>
      <w:tr w:rsidR="005835D9" w:rsidRPr="00D007E3" w14:paraId="361BAA74" w14:textId="77777777" w:rsidTr="004C3421">
        <w:trPr>
          <w:trHeight w:val="132"/>
        </w:trPr>
        <w:tc>
          <w:tcPr>
            <w:tcW w:w="2215" w:type="dxa"/>
          </w:tcPr>
          <w:p w14:paraId="77A0CA35" w14:textId="13D5B5FC" w:rsidR="004A4EC3" w:rsidRPr="00D007E3" w:rsidRDefault="005A5579" w:rsidP="005835D9">
            <w:pPr>
              <w:pStyle w:val="Formfields"/>
              <w:framePr w:hSpace="0" w:wrap="auto" w:vAnchor="margin" w:yAlign="inline"/>
              <w:suppressOverlap w:val="0"/>
              <w:rPr>
                <w:color w:val="000000" w:themeColor="text1"/>
              </w:rPr>
            </w:pPr>
            <w:r>
              <w:t>Division</w:t>
            </w:r>
            <w:r w:rsidR="004A4EC3" w:rsidRPr="00D007E3">
              <w:t xml:space="preserve">: </w:t>
            </w:r>
          </w:p>
        </w:tc>
        <w:tc>
          <w:tcPr>
            <w:tcW w:w="3167" w:type="dxa"/>
          </w:tcPr>
          <w:p w14:paraId="6E7A5B79" w14:textId="13B86C71" w:rsidR="004A4EC3" w:rsidRPr="00D007E3" w:rsidRDefault="005A5579" w:rsidP="004C3421">
            <w:pPr>
              <w:spacing w:line="240" w:lineRule="auto"/>
            </w:pPr>
            <w:r>
              <w:t>State Services</w:t>
            </w:r>
          </w:p>
        </w:tc>
        <w:tc>
          <w:tcPr>
            <w:tcW w:w="1984" w:type="dxa"/>
          </w:tcPr>
          <w:p w14:paraId="67141356" w14:textId="77777777" w:rsidR="004A4EC3" w:rsidRPr="00D007E3" w:rsidRDefault="004A4EC3" w:rsidP="005835D9">
            <w:pPr>
              <w:pStyle w:val="Formfields"/>
              <w:framePr w:hSpace="0" w:wrap="auto" w:vAnchor="margin" w:yAlign="inline"/>
              <w:suppressOverlap w:val="0"/>
            </w:pPr>
            <w:r w:rsidRPr="00D007E3">
              <w:t xml:space="preserve">Reports to: </w:t>
            </w:r>
          </w:p>
        </w:tc>
        <w:tc>
          <w:tcPr>
            <w:tcW w:w="2840" w:type="dxa"/>
          </w:tcPr>
          <w:p w14:paraId="0836B71E" w14:textId="72FE845F" w:rsidR="004A4EC3" w:rsidRPr="00D007E3" w:rsidRDefault="000204CF" w:rsidP="004C3421">
            <w:pPr>
              <w:spacing w:line="240" w:lineRule="auto"/>
            </w:pPr>
            <w:r w:rsidRPr="000204CF">
              <w:t>Manager Financial Services</w:t>
            </w:r>
          </w:p>
        </w:tc>
      </w:tr>
      <w:tr w:rsidR="005835D9" w:rsidRPr="00D007E3" w14:paraId="77F9C586" w14:textId="77777777" w:rsidTr="004C3421">
        <w:trPr>
          <w:trHeight w:val="517"/>
        </w:trPr>
        <w:tc>
          <w:tcPr>
            <w:tcW w:w="2215" w:type="dxa"/>
          </w:tcPr>
          <w:p w14:paraId="5E66F297" w14:textId="3F1B7DA6" w:rsidR="004A4EC3" w:rsidRPr="00D007E3" w:rsidRDefault="005A5579" w:rsidP="005835D9">
            <w:pPr>
              <w:pStyle w:val="Default"/>
              <w:rPr>
                <w:color w:val="000000" w:themeColor="text1"/>
              </w:rPr>
            </w:pPr>
            <w:r>
              <w:rPr>
                <w:color w:val="CC5733"/>
              </w:rPr>
              <w:t>Directorate</w:t>
            </w:r>
            <w:r w:rsidR="004A4EC3" w:rsidRPr="00D007E3">
              <w:rPr>
                <w:color w:val="CC5733"/>
              </w:rPr>
              <w:t xml:space="preserve">: </w:t>
            </w:r>
          </w:p>
        </w:tc>
        <w:tc>
          <w:tcPr>
            <w:tcW w:w="3167" w:type="dxa"/>
          </w:tcPr>
          <w:p w14:paraId="2E756B84" w14:textId="4F0DFF5D" w:rsidR="004A4EC3" w:rsidRPr="00D007E3" w:rsidRDefault="005835D9" w:rsidP="004C3421">
            <w:pPr>
              <w:spacing w:line="240" w:lineRule="auto"/>
            </w:pPr>
            <w:r>
              <w:t xml:space="preserve">Financial and Business Services </w:t>
            </w:r>
          </w:p>
        </w:tc>
        <w:tc>
          <w:tcPr>
            <w:tcW w:w="1984" w:type="dxa"/>
          </w:tcPr>
          <w:p w14:paraId="69AA6691" w14:textId="77777777" w:rsidR="004A4EC3" w:rsidRPr="00D007E3" w:rsidRDefault="004A4EC3" w:rsidP="005835D9">
            <w:pPr>
              <w:pStyle w:val="Formfields"/>
              <w:framePr w:hSpace="0" w:wrap="auto" w:vAnchor="margin" w:yAlign="inline"/>
              <w:suppressOverlap w:val="0"/>
            </w:pPr>
            <w:r w:rsidRPr="00D007E3">
              <w:t xml:space="preserve">Supervises: </w:t>
            </w:r>
          </w:p>
        </w:tc>
        <w:tc>
          <w:tcPr>
            <w:tcW w:w="2840" w:type="dxa"/>
          </w:tcPr>
          <w:p w14:paraId="492DAAAF" w14:textId="3E19A4E6" w:rsidR="004A4EC3" w:rsidRPr="00CB7F4F" w:rsidRDefault="000204CF" w:rsidP="004C3421">
            <w:pPr>
              <w:spacing w:line="240" w:lineRule="auto"/>
            </w:pPr>
            <w:r>
              <w:t>1</w:t>
            </w:r>
            <w:r w:rsidR="004A4EC3" w:rsidRPr="00A75D6B">
              <w:t>FTE</w:t>
            </w:r>
            <w:r w:rsidR="004A4EC3" w:rsidRPr="00CB7F4F">
              <w:t xml:space="preserve"> </w:t>
            </w:r>
          </w:p>
        </w:tc>
      </w:tr>
      <w:tr w:rsidR="005835D9" w:rsidRPr="00D007E3" w14:paraId="6BBCF80B" w14:textId="77777777" w:rsidTr="004C3421">
        <w:trPr>
          <w:trHeight w:val="434"/>
        </w:trPr>
        <w:tc>
          <w:tcPr>
            <w:tcW w:w="2215" w:type="dxa"/>
          </w:tcPr>
          <w:p w14:paraId="441BB099" w14:textId="16118058" w:rsidR="004A4EC3" w:rsidRPr="00D007E3" w:rsidRDefault="004A4EC3" w:rsidP="005835D9">
            <w:pPr>
              <w:pStyle w:val="Default"/>
              <w:rPr>
                <w:color w:val="000000" w:themeColor="text1"/>
              </w:rPr>
            </w:pPr>
            <w:r w:rsidRPr="00D007E3">
              <w:rPr>
                <w:color w:val="CC5733"/>
              </w:rPr>
              <w:t xml:space="preserve">Location: </w:t>
            </w:r>
          </w:p>
        </w:tc>
        <w:tc>
          <w:tcPr>
            <w:tcW w:w="3167" w:type="dxa"/>
          </w:tcPr>
          <w:p w14:paraId="7552AE47" w14:textId="387572CE" w:rsidR="004A4EC3" w:rsidRPr="00D007E3" w:rsidRDefault="004A4EC3" w:rsidP="004C3421">
            <w:pPr>
              <w:spacing w:line="240" w:lineRule="auto"/>
            </w:pPr>
            <w:r w:rsidRPr="00C201F1">
              <w:t xml:space="preserve">Perth Metro </w:t>
            </w:r>
          </w:p>
        </w:tc>
        <w:tc>
          <w:tcPr>
            <w:tcW w:w="1984" w:type="dxa"/>
          </w:tcPr>
          <w:p w14:paraId="7FF4CBAE" w14:textId="12716AE8" w:rsidR="004A4EC3" w:rsidRPr="00D007E3" w:rsidRDefault="004A4EC3" w:rsidP="005835D9">
            <w:pPr>
              <w:pStyle w:val="Default"/>
              <w:rPr>
                <w:color w:val="CC5733"/>
              </w:rPr>
            </w:pPr>
          </w:p>
        </w:tc>
        <w:tc>
          <w:tcPr>
            <w:tcW w:w="2840" w:type="dxa"/>
          </w:tcPr>
          <w:p w14:paraId="6D36D602" w14:textId="2E79D1C6" w:rsidR="004A4EC3" w:rsidRPr="00D007E3" w:rsidRDefault="004A4EC3" w:rsidP="004C3421">
            <w:pPr>
              <w:spacing w:line="240" w:lineRule="auto"/>
            </w:pPr>
          </w:p>
        </w:tc>
      </w:tr>
    </w:tbl>
    <w:p w14:paraId="6F0C4B04" w14:textId="77777777" w:rsidR="005835D9" w:rsidRDefault="005835D9" w:rsidP="004C3421">
      <w:pPr>
        <w:spacing w:after="0" w:line="240" w:lineRule="auto"/>
        <w:jc w:val="both"/>
        <w:rPr>
          <w:b/>
          <w:bCs/>
          <w:color w:val="CC5733"/>
        </w:rPr>
      </w:pPr>
    </w:p>
    <w:p w14:paraId="03C8792F" w14:textId="26E66062" w:rsidR="005835D9" w:rsidRPr="004C3421" w:rsidRDefault="005835D9" w:rsidP="005835D9">
      <w:pPr>
        <w:spacing w:line="240" w:lineRule="auto"/>
        <w:jc w:val="both"/>
        <w:rPr>
          <w:color w:val="CC5733"/>
        </w:rPr>
      </w:pPr>
      <w:r w:rsidRPr="004C3421">
        <w:rPr>
          <w:b/>
          <w:bCs/>
          <w:color w:val="CC5733"/>
        </w:rPr>
        <w:t>Our vision is to lead a connected government that delivers a brighter future for Western Australians. </w:t>
      </w:r>
      <w:r w:rsidRPr="004C3421">
        <w:rPr>
          <w:color w:val="CC5733"/>
        </w:rPr>
        <w:t> </w:t>
      </w:r>
    </w:p>
    <w:p w14:paraId="4E26CD17" w14:textId="490E3D36" w:rsidR="005835D9" w:rsidRPr="005835D9" w:rsidRDefault="005835D9" w:rsidP="004C3421">
      <w:pPr>
        <w:spacing w:line="276" w:lineRule="auto"/>
        <w:jc w:val="both"/>
      </w:pPr>
      <w:r w:rsidRPr="005835D9">
        <w:t xml:space="preserve">The Department of the Premier and Cabinet (DPC) is a central agency, leading the public sector by providing whole-of-Government advice and supporting both the Premier and Cabinet in their service to the WA community.  </w:t>
      </w:r>
    </w:p>
    <w:p w14:paraId="50DD2DB0" w14:textId="711409B1" w:rsidR="005835D9" w:rsidRPr="00070651" w:rsidRDefault="005835D9" w:rsidP="004C3421">
      <w:pPr>
        <w:spacing w:line="276" w:lineRule="auto"/>
        <w:jc w:val="both"/>
      </w:pPr>
      <w:r w:rsidRPr="005835D9">
        <w:t xml:space="preserve">Our divisions consist of State Services, Delivery and Policy, Aboriginal Engagement and Native Title, Office of the Coordinator General, Office of Digital Government and the Office of Defence Industries. </w:t>
      </w:r>
    </w:p>
    <w:p w14:paraId="5022EB32" w14:textId="3C4E53A4" w:rsidR="00477E21" w:rsidRDefault="003522C2" w:rsidP="004E0418">
      <w:pPr>
        <w:pStyle w:val="Heading2"/>
        <w:jc w:val="both"/>
        <w:rPr>
          <w:sz w:val="24"/>
          <w:szCs w:val="24"/>
        </w:rPr>
      </w:pPr>
      <w:bookmarkStart w:id="0" w:name="_Hlk125896025"/>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0"/>
    <w:p w14:paraId="01EEDC61" w14:textId="4CF25668" w:rsidR="005835D9" w:rsidRDefault="005835D9" w:rsidP="004C3421">
      <w:pPr>
        <w:spacing w:line="276" w:lineRule="auto"/>
        <w:jc w:val="both"/>
      </w:pPr>
      <w:r w:rsidRPr="005835D9">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2E6FB621" w14:textId="2AFBABE2" w:rsidR="005835D9" w:rsidRPr="004C3421" w:rsidRDefault="005835D9" w:rsidP="004C3421">
      <w:pPr>
        <w:pStyle w:val="Heading2"/>
        <w:jc w:val="both"/>
      </w:pPr>
      <w:r w:rsidRPr="004C3421">
        <w:rPr>
          <w:sz w:val="24"/>
          <w:szCs w:val="24"/>
        </w:rPr>
        <w:t xml:space="preserve">About the Directorate/Branch </w:t>
      </w:r>
    </w:p>
    <w:p w14:paraId="0B1F1CF5" w14:textId="4CE377FB" w:rsidR="00082B97" w:rsidRPr="00082B97" w:rsidRDefault="0080269A" w:rsidP="004C3421">
      <w:pPr>
        <w:spacing w:line="276" w:lineRule="auto"/>
        <w:jc w:val="both"/>
      </w:pPr>
      <w:r w:rsidRPr="00CB0FE2">
        <w:t xml:space="preserve">The Financial </w:t>
      </w:r>
      <w:r w:rsidR="005835D9">
        <w:t xml:space="preserve">and Business Services team </w:t>
      </w:r>
      <w:r w:rsidRPr="00CB0FE2">
        <w:t xml:space="preserve">supports the Premier, Ministers and Ministerial Office staff, Members of Parliament and Parliamentary Electorate Office, Departmental staff and </w:t>
      </w:r>
      <w:r w:rsidR="008846C1">
        <w:t>client</w:t>
      </w:r>
      <w:r w:rsidRPr="00CB0FE2">
        <w:t xml:space="preserve"> government agencies by delivering financial services</w:t>
      </w:r>
      <w:r w:rsidR="00CA5560" w:rsidRPr="0080269A">
        <w:t>.</w:t>
      </w:r>
      <w:r w:rsidR="00CA5560">
        <w:t xml:space="preserve"> It also e</w:t>
      </w:r>
      <w:r w:rsidR="00082B97" w:rsidRPr="00082B97">
        <w:t>nsur</w:t>
      </w:r>
      <w:r w:rsidR="00CA5560">
        <w:t>es</w:t>
      </w:r>
      <w:r w:rsidR="00082B97" w:rsidRPr="00082B97">
        <w:t xml:space="preserve"> the Department meets all requirements and obligations under the </w:t>
      </w:r>
      <w:r w:rsidR="00082B97" w:rsidRPr="008846C1">
        <w:rPr>
          <w:i/>
          <w:iCs/>
        </w:rPr>
        <w:t>Financial Management Act 2006</w:t>
      </w:r>
      <w:r w:rsidR="00082B97" w:rsidRPr="00082B97">
        <w:t xml:space="preserve"> and </w:t>
      </w:r>
      <w:r w:rsidR="00082B97" w:rsidRPr="004C3421">
        <w:t>Treasurer’s Instructions</w:t>
      </w:r>
      <w:r w:rsidR="00082B97" w:rsidRPr="005835D9">
        <w:t>.</w:t>
      </w:r>
      <w:r w:rsidR="00082B97" w:rsidRPr="00082B97">
        <w:t xml:space="preserve">   </w:t>
      </w:r>
    </w:p>
    <w:p w14:paraId="7D1D0209" w14:textId="0F35D0BA" w:rsidR="00477E21" w:rsidRPr="004C3421" w:rsidRDefault="00A00DF9" w:rsidP="004C3421">
      <w:pPr>
        <w:pStyle w:val="Heading1"/>
        <w:jc w:val="both"/>
        <w:rPr>
          <w:sz w:val="24"/>
          <w:szCs w:val="24"/>
        </w:rPr>
      </w:pPr>
      <w:r w:rsidRPr="004C3421">
        <w:rPr>
          <w:sz w:val="24"/>
          <w:szCs w:val="24"/>
        </w:rPr>
        <w:t xml:space="preserve">About the </w:t>
      </w:r>
      <w:r w:rsidR="005835D9">
        <w:rPr>
          <w:sz w:val="24"/>
          <w:szCs w:val="24"/>
        </w:rPr>
        <w:t>R</w:t>
      </w:r>
      <w:r w:rsidR="00756536" w:rsidRPr="004C3421">
        <w:rPr>
          <w:sz w:val="24"/>
          <w:szCs w:val="24"/>
        </w:rPr>
        <w:t>ole</w:t>
      </w:r>
      <w:r w:rsidR="00C45F38" w:rsidRPr="004C3421">
        <w:rPr>
          <w:sz w:val="24"/>
          <w:szCs w:val="24"/>
        </w:rPr>
        <w:t xml:space="preserve"> </w:t>
      </w:r>
      <w:r w:rsidR="004A4EC3" w:rsidRPr="004C3421">
        <w:rPr>
          <w:sz w:val="24"/>
          <w:szCs w:val="24"/>
        </w:rPr>
        <w:t xml:space="preserve">and </w:t>
      </w:r>
      <w:r w:rsidR="005835D9">
        <w:rPr>
          <w:sz w:val="24"/>
          <w:szCs w:val="24"/>
        </w:rPr>
        <w:t>R</w:t>
      </w:r>
      <w:r w:rsidR="004A4EC3" w:rsidRPr="004C3421">
        <w:rPr>
          <w:sz w:val="24"/>
          <w:szCs w:val="24"/>
        </w:rPr>
        <w:t>esponsibilities</w:t>
      </w:r>
    </w:p>
    <w:p w14:paraId="344C8908" w14:textId="1A39B521" w:rsidR="00552E11" w:rsidRDefault="00663A81" w:rsidP="004C3421">
      <w:pPr>
        <w:spacing w:line="276" w:lineRule="auto"/>
        <w:jc w:val="both"/>
        <w:rPr>
          <w:color w:val="000000"/>
        </w:rPr>
      </w:pPr>
      <w:r>
        <w:t xml:space="preserve">This </w:t>
      </w:r>
      <w:r w:rsidR="005835D9">
        <w:t xml:space="preserve">position </w:t>
      </w:r>
      <w:r w:rsidR="004E0418">
        <w:t xml:space="preserve">operates as </w:t>
      </w:r>
      <w:r w:rsidR="005835D9">
        <w:t xml:space="preserve">a </w:t>
      </w:r>
      <w:r w:rsidR="00487B4F" w:rsidRPr="00487B4F">
        <w:t xml:space="preserve">Finance Business Partner </w:t>
      </w:r>
      <w:r w:rsidR="00487B4F">
        <w:t xml:space="preserve">to the </w:t>
      </w:r>
      <w:r w:rsidR="00D61073" w:rsidRPr="00D61073">
        <w:t>Aboriginal Engagement</w:t>
      </w:r>
      <w:r w:rsidR="005835D9">
        <w:t xml:space="preserve"> and Native Title</w:t>
      </w:r>
      <w:r w:rsidR="00D61073" w:rsidRPr="00D61073">
        <w:t xml:space="preserve"> Division</w:t>
      </w:r>
      <w:r w:rsidR="004E0418">
        <w:t>,</w:t>
      </w:r>
      <w:r w:rsidR="00D61073" w:rsidRPr="00D61073">
        <w:t xml:space="preserve"> </w:t>
      </w:r>
      <w:r w:rsidR="00487B4F">
        <w:t>provid</w:t>
      </w:r>
      <w:r w:rsidR="0083109A">
        <w:t xml:space="preserve">ing </w:t>
      </w:r>
      <w:r w:rsidR="00D61073" w:rsidRPr="00D61073">
        <w:t>dedicate</w:t>
      </w:r>
      <w:r w:rsidR="00FE65D3">
        <w:t>d</w:t>
      </w:r>
      <w:r w:rsidR="00876B97">
        <w:t xml:space="preserve"> </w:t>
      </w:r>
      <w:r w:rsidR="00FE65D3">
        <w:t>support</w:t>
      </w:r>
      <w:r w:rsidR="00876B97">
        <w:t xml:space="preserve"> </w:t>
      </w:r>
      <w:r w:rsidR="00D61073" w:rsidRPr="00D61073">
        <w:t xml:space="preserve">to ensure </w:t>
      </w:r>
      <w:r w:rsidR="004E0418">
        <w:t xml:space="preserve">strong </w:t>
      </w:r>
      <w:r w:rsidR="00556A08">
        <w:t xml:space="preserve">alignment </w:t>
      </w:r>
      <w:r w:rsidR="00487B4F">
        <w:t>be</w:t>
      </w:r>
      <w:r w:rsidR="00D61073" w:rsidRPr="00D61073">
        <w:t>tween financial management and division</w:t>
      </w:r>
      <w:r w:rsidR="00930738">
        <w:t xml:space="preserve">al </w:t>
      </w:r>
      <w:r w:rsidR="00D61073" w:rsidRPr="00D61073">
        <w:t>operations</w:t>
      </w:r>
      <w:r w:rsidR="004E0418">
        <w:t xml:space="preserve">. This role has a </w:t>
      </w:r>
      <w:r w:rsidR="00D61073" w:rsidRPr="00D61073">
        <w:t>particular focus on the critical aspects of grant management</w:t>
      </w:r>
      <w:r w:rsidR="002672F5">
        <w:t xml:space="preserve"> and </w:t>
      </w:r>
      <w:r w:rsidR="004E0418">
        <w:t xml:space="preserve">the </w:t>
      </w:r>
      <w:r w:rsidR="002672F5">
        <w:t>administrat</w:t>
      </w:r>
      <w:r w:rsidR="004E0418">
        <w:t xml:space="preserve">ion of </w:t>
      </w:r>
      <w:r w:rsidR="002672F5">
        <w:t>items</w:t>
      </w:r>
      <w:r w:rsidR="002F286B">
        <w:t xml:space="preserve"> relat</w:t>
      </w:r>
      <w:r w:rsidR="004E0418">
        <w:t>ing to</w:t>
      </w:r>
      <w:r w:rsidR="002F286B">
        <w:t xml:space="preserve"> native title </w:t>
      </w:r>
      <w:r w:rsidR="002F286B">
        <w:lastRenderedPageBreak/>
        <w:t xml:space="preserve">settlements. </w:t>
      </w:r>
      <w:r w:rsidR="004E0418">
        <w:rPr>
          <w:color w:val="000000"/>
        </w:rPr>
        <w:t>It</w:t>
      </w:r>
      <w:r w:rsidR="0008245A" w:rsidRPr="0008245A">
        <w:rPr>
          <w:color w:val="000000"/>
        </w:rPr>
        <w:t xml:space="preserve"> supports </w:t>
      </w:r>
      <w:r w:rsidR="004E0418">
        <w:rPr>
          <w:color w:val="000000"/>
        </w:rPr>
        <w:t xml:space="preserve">divisional </w:t>
      </w:r>
      <w:r w:rsidR="0008245A" w:rsidRPr="0008245A">
        <w:rPr>
          <w:color w:val="000000"/>
        </w:rPr>
        <w:t>budget planning, strategy</w:t>
      </w:r>
      <w:r w:rsidR="004E0418">
        <w:rPr>
          <w:color w:val="000000"/>
        </w:rPr>
        <w:t xml:space="preserve"> </w:t>
      </w:r>
      <w:r w:rsidR="0008245A" w:rsidRPr="0008245A">
        <w:rPr>
          <w:color w:val="000000"/>
        </w:rPr>
        <w:t>and development</w:t>
      </w:r>
      <w:r w:rsidR="004E0418">
        <w:rPr>
          <w:color w:val="000000"/>
        </w:rPr>
        <w:t xml:space="preserve">, and </w:t>
      </w:r>
      <w:r w:rsidR="0008245A" w:rsidRPr="0008245A">
        <w:rPr>
          <w:color w:val="000000"/>
        </w:rPr>
        <w:t>oversee</w:t>
      </w:r>
      <w:r w:rsidR="004E0418">
        <w:rPr>
          <w:color w:val="000000"/>
        </w:rPr>
        <w:t>s</w:t>
      </w:r>
      <w:r w:rsidR="0008245A" w:rsidRPr="0008245A">
        <w:rPr>
          <w:color w:val="000000"/>
        </w:rPr>
        <w:t xml:space="preserve"> financial capability and resource management to </w:t>
      </w:r>
      <w:r w:rsidR="004E0418">
        <w:rPr>
          <w:color w:val="000000"/>
        </w:rPr>
        <w:t>support</w:t>
      </w:r>
      <w:r w:rsidR="004E0418" w:rsidRPr="0008245A">
        <w:rPr>
          <w:color w:val="000000"/>
        </w:rPr>
        <w:t xml:space="preserve"> </w:t>
      </w:r>
      <w:r w:rsidR="0008245A" w:rsidRPr="0008245A">
        <w:rPr>
          <w:color w:val="000000"/>
        </w:rPr>
        <w:t xml:space="preserve">key outcomes. </w:t>
      </w:r>
      <w:r w:rsidR="004E0418">
        <w:rPr>
          <w:color w:val="000000"/>
        </w:rPr>
        <w:t xml:space="preserve">The position </w:t>
      </w:r>
      <w:r w:rsidR="0008245A" w:rsidRPr="0008245A">
        <w:rPr>
          <w:color w:val="000000"/>
        </w:rPr>
        <w:t xml:space="preserve">also provides strategic advice on financial policies and budget strategies </w:t>
      </w:r>
      <w:r w:rsidR="00552E11">
        <w:rPr>
          <w:color w:val="000000"/>
        </w:rPr>
        <w:t xml:space="preserve">related to </w:t>
      </w:r>
      <w:r w:rsidR="00AD6967">
        <w:rPr>
          <w:color w:val="000000"/>
        </w:rPr>
        <w:t xml:space="preserve">Aboriginal Engagement </w:t>
      </w:r>
      <w:r w:rsidR="002D65EC">
        <w:rPr>
          <w:color w:val="000000"/>
        </w:rPr>
        <w:t xml:space="preserve">matters </w:t>
      </w:r>
      <w:r w:rsidR="004E0418">
        <w:rPr>
          <w:color w:val="000000"/>
        </w:rPr>
        <w:t xml:space="preserve">across </w:t>
      </w:r>
      <w:r w:rsidR="002D65EC">
        <w:rPr>
          <w:color w:val="000000"/>
        </w:rPr>
        <w:t xml:space="preserve">the </w:t>
      </w:r>
      <w:r w:rsidR="0008245A" w:rsidRPr="0008245A">
        <w:rPr>
          <w:color w:val="000000"/>
        </w:rPr>
        <w:t>Department</w:t>
      </w:r>
      <w:r w:rsidR="002D65EC">
        <w:rPr>
          <w:color w:val="000000"/>
        </w:rPr>
        <w:t>.</w:t>
      </w:r>
    </w:p>
    <w:p w14:paraId="28400CA4" w14:textId="53E42DD5" w:rsidR="00391D68" w:rsidRDefault="00391D68" w:rsidP="004C3421">
      <w:pPr>
        <w:spacing w:after="0" w:line="240" w:lineRule="auto"/>
      </w:pPr>
      <w:r w:rsidRPr="00D15F27">
        <w:rPr>
          <w:b/>
          <w:bCs/>
        </w:rPr>
        <w:t>Budget development and</w:t>
      </w:r>
      <w:r w:rsidRPr="00391D68">
        <w:t xml:space="preserve"> </w:t>
      </w:r>
      <w:r w:rsidRPr="00D15F27">
        <w:rPr>
          <w:b/>
          <w:bCs/>
        </w:rPr>
        <w:t>Coordination</w:t>
      </w:r>
      <w:r w:rsidR="00CF388B">
        <w:rPr>
          <w:b/>
          <w:bCs/>
        </w:rPr>
        <w:t xml:space="preserve"> for Aboriginal </w:t>
      </w:r>
      <w:r w:rsidR="00BB6F8F">
        <w:rPr>
          <w:b/>
          <w:bCs/>
        </w:rPr>
        <w:t>Engagement</w:t>
      </w:r>
    </w:p>
    <w:p w14:paraId="4AFA0366" w14:textId="499EA2B3" w:rsidR="000204CF" w:rsidRDefault="00E14C19" w:rsidP="004C3421">
      <w:pPr>
        <w:pStyle w:val="ListParagraph"/>
        <w:numPr>
          <w:ilvl w:val="0"/>
          <w:numId w:val="18"/>
        </w:numPr>
        <w:spacing w:after="0" w:line="276" w:lineRule="auto"/>
        <w:ind w:left="360" w:hanging="360"/>
        <w:jc w:val="both"/>
      </w:pPr>
      <w:proofErr w:type="gramStart"/>
      <w:r>
        <w:t>Researches</w:t>
      </w:r>
      <w:proofErr w:type="gramEnd"/>
      <w:r w:rsidR="000204CF">
        <w:t xml:space="preserve">, analyses and develops strategic financial options to enhance the future financial management and capability of </w:t>
      </w:r>
      <w:r w:rsidR="00190BD1">
        <w:t>the</w:t>
      </w:r>
      <w:r w:rsidR="00BB6F8F">
        <w:t xml:space="preserve"> </w:t>
      </w:r>
      <w:r w:rsidR="00190BD1">
        <w:t>D</w:t>
      </w:r>
      <w:r w:rsidR="00926333">
        <w:t>ivision</w:t>
      </w:r>
      <w:r w:rsidR="00190BD1">
        <w:t>, including</w:t>
      </w:r>
      <w:r w:rsidR="00926333">
        <w:t xml:space="preserve"> </w:t>
      </w:r>
      <w:r w:rsidR="000204CF">
        <w:t>provi</w:t>
      </w:r>
      <w:r w:rsidR="00190BD1">
        <w:t>ding</w:t>
      </w:r>
      <w:r w:rsidR="000204CF">
        <w:t xml:space="preserve"> advice </w:t>
      </w:r>
      <w:r w:rsidR="00190BD1">
        <w:t xml:space="preserve">on </w:t>
      </w:r>
      <w:r w:rsidR="000204CF">
        <w:t>the financial implications of, and financial risks to</w:t>
      </w:r>
      <w:r w:rsidR="00190BD1">
        <w:t>,</w:t>
      </w:r>
      <w:r w:rsidR="000204CF">
        <w:t xml:space="preserve"> current and projected business activities.</w:t>
      </w:r>
    </w:p>
    <w:p w14:paraId="74614461" w14:textId="04985610" w:rsidR="000204CF" w:rsidRDefault="000204CF" w:rsidP="004C3421">
      <w:pPr>
        <w:pStyle w:val="ListParagraph"/>
        <w:numPr>
          <w:ilvl w:val="0"/>
          <w:numId w:val="18"/>
        </w:numPr>
        <w:spacing w:after="0" w:line="276" w:lineRule="auto"/>
        <w:ind w:left="360" w:hanging="360"/>
        <w:jc w:val="both"/>
      </w:pPr>
      <w:r>
        <w:t>Assist</w:t>
      </w:r>
      <w:r w:rsidR="00D51227">
        <w:t>s</w:t>
      </w:r>
      <w:r>
        <w:t xml:space="preserve"> the Chief Finance Officer in managing external budget cycle, </w:t>
      </w:r>
      <w:r w:rsidR="00612944">
        <w:t xml:space="preserve">by </w:t>
      </w:r>
      <w:r>
        <w:t>coordinat</w:t>
      </w:r>
      <w:r w:rsidR="00E20516">
        <w:t>ing</w:t>
      </w:r>
      <w:r>
        <w:t xml:space="preserve"> and consolidat</w:t>
      </w:r>
      <w:r w:rsidR="00E20516">
        <w:t>ing</w:t>
      </w:r>
      <w:r>
        <w:t xml:space="preserve"> </w:t>
      </w:r>
      <w:r w:rsidR="00612944">
        <w:t xml:space="preserve">Aboriginal </w:t>
      </w:r>
      <w:r w:rsidR="005325BF">
        <w:t xml:space="preserve">Engagement’s </w:t>
      </w:r>
      <w:r>
        <w:t>submission</w:t>
      </w:r>
      <w:r w:rsidR="005325BF">
        <w:t>s</w:t>
      </w:r>
      <w:r>
        <w:t xml:space="preserve"> and monitors expenditure and negotiations with the Department of Treasury</w:t>
      </w:r>
    </w:p>
    <w:p w14:paraId="528945C2" w14:textId="1F547FDC" w:rsidR="000204CF" w:rsidRDefault="000204CF" w:rsidP="004C3421">
      <w:pPr>
        <w:pStyle w:val="ListParagraph"/>
        <w:numPr>
          <w:ilvl w:val="0"/>
          <w:numId w:val="18"/>
        </w:numPr>
        <w:spacing w:after="0" w:line="276" w:lineRule="auto"/>
        <w:ind w:left="360" w:hanging="360"/>
        <w:jc w:val="both"/>
      </w:pPr>
      <w:r>
        <w:t>Develop</w:t>
      </w:r>
      <w:r w:rsidR="00D51227">
        <w:t>s</w:t>
      </w:r>
      <w:r>
        <w:t xml:space="preserve"> and review</w:t>
      </w:r>
      <w:r w:rsidR="00D51227">
        <w:t>s</w:t>
      </w:r>
      <w:r>
        <w:t xml:space="preserve"> external budgets, forecasts, funding submissions and business cases for </w:t>
      </w:r>
      <w:r w:rsidR="00051DCC">
        <w:t>w</w:t>
      </w:r>
      <w:r>
        <w:t>hole</w:t>
      </w:r>
      <w:r w:rsidR="00051DCC">
        <w:t>-</w:t>
      </w:r>
      <w:r>
        <w:t>of</w:t>
      </w:r>
      <w:r w:rsidR="00051DCC">
        <w:t>-g</w:t>
      </w:r>
      <w:r>
        <w:t>overnment SIMS budgeting</w:t>
      </w:r>
      <w:r w:rsidR="00051DCC">
        <w:t xml:space="preserve"> and</w:t>
      </w:r>
      <w:r>
        <w:t xml:space="preserve"> reporting.</w:t>
      </w:r>
    </w:p>
    <w:p w14:paraId="7745FB84" w14:textId="007D3638" w:rsidR="000204CF" w:rsidRDefault="000204CF" w:rsidP="004C3421">
      <w:pPr>
        <w:pStyle w:val="ListParagraph"/>
        <w:numPr>
          <w:ilvl w:val="0"/>
          <w:numId w:val="18"/>
        </w:numPr>
        <w:spacing w:after="0" w:line="276" w:lineRule="auto"/>
        <w:ind w:left="360" w:hanging="360"/>
        <w:jc w:val="both"/>
      </w:pPr>
      <w:r>
        <w:t>Oversees the fund management</w:t>
      </w:r>
      <w:r w:rsidR="00430288">
        <w:t xml:space="preserve"> of</w:t>
      </w:r>
      <w:r w:rsidR="004C4356">
        <w:t xml:space="preserve"> administ</w:t>
      </w:r>
      <w:r w:rsidR="00051DCC">
        <w:t>ered</w:t>
      </w:r>
      <w:r w:rsidR="004C4356">
        <w:t xml:space="preserve"> items for native title settlements</w:t>
      </w:r>
      <w:r>
        <w:t>, including</w:t>
      </w:r>
      <w:r w:rsidR="006E30D2">
        <w:t xml:space="preserve"> assisting in the </w:t>
      </w:r>
      <w:r>
        <w:t xml:space="preserve">preparation of Department’s Cash Disbursement Profile. </w:t>
      </w:r>
    </w:p>
    <w:p w14:paraId="0068CB7F" w14:textId="26421F3A" w:rsidR="00840D69" w:rsidRDefault="00D51227" w:rsidP="004C3421">
      <w:pPr>
        <w:pStyle w:val="ListParagraph"/>
        <w:numPr>
          <w:ilvl w:val="0"/>
          <w:numId w:val="18"/>
        </w:numPr>
        <w:spacing w:after="0" w:line="276" w:lineRule="auto"/>
        <w:ind w:left="360" w:hanging="360"/>
        <w:jc w:val="both"/>
      </w:pPr>
      <w:r>
        <w:t>Supports</w:t>
      </w:r>
      <w:r w:rsidR="00840D69">
        <w:t xml:space="preserve"> the internal budget process by setting and aligning budget parameters to the externally approved budget</w:t>
      </w:r>
      <w:r w:rsidR="004F78DC">
        <w:t>.</w:t>
      </w:r>
    </w:p>
    <w:p w14:paraId="3E00CD19" w14:textId="5E95B48B" w:rsidR="00E85998" w:rsidRDefault="00E85998" w:rsidP="004C3421">
      <w:pPr>
        <w:pStyle w:val="ListParagraph"/>
        <w:numPr>
          <w:ilvl w:val="0"/>
          <w:numId w:val="18"/>
        </w:numPr>
        <w:spacing w:after="0" w:line="276" w:lineRule="auto"/>
        <w:ind w:left="360" w:hanging="360"/>
        <w:jc w:val="both"/>
      </w:pPr>
      <w:r>
        <w:t xml:space="preserve">Reports against key </w:t>
      </w:r>
      <w:r w:rsidR="00051DCC">
        <w:t>b</w:t>
      </w:r>
      <w:r>
        <w:t>udgetary targets and provides detailed variance analysis and forecasting against revenue and expenditure items.</w:t>
      </w:r>
    </w:p>
    <w:p w14:paraId="21B585E8" w14:textId="303C2D29" w:rsidR="00E85998" w:rsidRDefault="00E85998" w:rsidP="004C3421">
      <w:pPr>
        <w:pStyle w:val="ListParagraph"/>
        <w:numPr>
          <w:ilvl w:val="0"/>
          <w:numId w:val="18"/>
        </w:numPr>
        <w:spacing w:after="0" w:line="276" w:lineRule="auto"/>
        <w:ind w:left="360" w:hanging="360"/>
        <w:jc w:val="both"/>
      </w:pPr>
      <w:r>
        <w:t>Designs, implements and manages forecasting tools that contribute to financial modelling for cash flow, expenditure and revenue estimates improvements.</w:t>
      </w:r>
    </w:p>
    <w:p w14:paraId="4BDED425" w14:textId="77777777" w:rsidR="00E85998" w:rsidRDefault="00E85998" w:rsidP="004C3421">
      <w:pPr>
        <w:pStyle w:val="ListParagraph"/>
        <w:numPr>
          <w:ilvl w:val="0"/>
          <w:numId w:val="18"/>
        </w:numPr>
        <w:spacing w:after="0" w:line="276" w:lineRule="auto"/>
        <w:ind w:left="360" w:hanging="360"/>
        <w:jc w:val="both"/>
      </w:pPr>
      <w:r>
        <w:t>Ensures key budgetary and financial controls are applied and adhered to in both integrated and manual financial systems</w:t>
      </w:r>
    </w:p>
    <w:p w14:paraId="3E7D787E" w14:textId="77777777" w:rsidR="00E85998" w:rsidRDefault="00E85998" w:rsidP="004C3421">
      <w:pPr>
        <w:pStyle w:val="ListParagraph"/>
        <w:numPr>
          <w:ilvl w:val="0"/>
          <w:numId w:val="18"/>
        </w:numPr>
        <w:spacing w:after="0" w:line="276" w:lineRule="auto"/>
        <w:ind w:left="360" w:hanging="360"/>
        <w:jc w:val="both"/>
      </w:pPr>
      <w:r>
        <w:t xml:space="preserve">Coordinates and consults with key stakeholders to review internal budget and financial management outcomes. </w:t>
      </w:r>
    </w:p>
    <w:p w14:paraId="6E844693" w14:textId="77777777" w:rsidR="00E85998" w:rsidRDefault="00E85998" w:rsidP="004C3421">
      <w:pPr>
        <w:pStyle w:val="ListParagraph"/>
        <w:numPr>
          <w:ilvl w:val="0"/>
          <w:numId w:val="18"/>
        </w:numPr>
        <w:spacing w:after="0" w:line="276" w:lineRule="auto"/>
        <w:ind w:left="360" w:hanging="360"/>
        <w:jc w:val="both"/>
      </w:pPr>
      <w:r>
        <w:t>Provides guidance and advice to staff on financial and management accounting issues.</w:t>
      </w:r>
    </w:p>
    <w:p w14:paraId="4CBC232B" w14:textId="79FFB29B" w:rsidR="00E85998" w:rsidRDefault="00E85998" w:rsidP="004C3421">
      <w:pPr>
        <w:pStyle w:val="ListParagraph"/>
        <w:numPr>
          <w:ilvl w:val="0"/>
          <w:numId w:val="18"/>
        </w:numPr>
        <w:spacing w:after="0" w:line="276" w:lineRule="auto"/>
        <w:ind w:left="360" w:hanging="360"/>
        <w:jc w:val="both"/>
      </w:pPr>
      <w:r>
        <w:t>Develops, implements and reviews financial policies and procedures</w:t>
      </w:r>
      <w:r w:rsidR="00A95912">
        <w:t>.</w:t>
      </w:r>
    </w:p>
    <w:p w14:paraId="75E386A6" w14:textId="77777777" w:rsidR="00190BD1" w:rsidRDefault="00190BD1" w:rsidP="004C3421">
      <w:pPr>
        <w:pStyle w:val="ListParagraph"/>
        <w:spacing w:after="0"/>
        <w:ind w:left="360"/>
        <w:jc w:val="both"/>
      </w:pPr>
    </w:p>
    <w:p w14:paraId="7D0A0BF7" w14:textId="5791489F" w:rsidR="000B4527" w:rsidRPr="000B4527" w:rsidRDefault="000B4527" w:rsidP="004C3421">
      <w:pPr>
        <w:spacing w:after="0" w:line="240" w:lineRule="auto"/>
        <w:rPr>
          <w:b/>
          <w:bCs/>
        </w:rPr>
      </w:pPr>
      <w:r w:rsidRPr="000B4527">
        <w:rPr>
          <w:b/>
          <w:bCs/>
        </w:rPr>
        <w:t xml:space="preserve">Leadership and Management </w:t>
      </w:r>
    </w:p>
    <w:p w14:paraId="1D40AB82" w14:textId="0E401C09" w:rsidR="00AF0933" w:rsidRPr="00AF0933" w:rsidRDefault="00172012" w:rsidP="004C3421">
      <w:pPr>
        <w:pStyle w:val="ListParagraph"/>
        <w:numPr>
          <w:ilvl w:val="0"/>
          <w:numId w:val="18"/>
        </w:numPr>
        <w:spacing w:after="0" w:line="276" w:lineRule="auto"/>
        <w:ind w:left="360" w:hanging="360"/>
        <w:jc w:val="both"/>
      </w:pPr>
      <w:r>
        <w:t>W</w:t>
      </w:r>
      <w:r w:rsidR="00AF0933" w:rsidRPr="00AF0933">
        <w:t>ork</w:t>
      </w:r>
      <w:r w:rsidR="00051DCC">
        <w:t>s</w:t>
      </w:r>
      <w:r w:rsidR="00AF0933" w:rsidRPr="00AF0933">
        <w:t xml:space="preserve"> collaboratively, sharing expertise, support, and resources to meet all Finance team deliverables.</w:t>
      </w:r>
    </w:p>
    <w:p w14:paraId="2A3F4FA5" w14:textId="4CF07542" w:rsidR="000204CF" w:rsidRDefault="000D4F2C" w:rsidP="004C3421">
      <w:pPr>
        <w:pStyle w:val="ListParagraph"/>
        <w:numPr>
          <w:ilvl w:val="0"/>
          <w:numId w:val="18"/>
        </w:numPr>
        <w:spacing w:after="0" w:line="276" w:lineRule="auto"/>
        <w:ind w:left="360" w:hanging="360"/>
        <w:jc w:val="both"/>
      </w:pPr>
      <w:r>
        <w:t xml:space="preserve">Supports </w:t>
      </w:r>
      <w:r w:rsidR="004816C1">
        <w:t>Finance’s budgetin</w:t>
      </w:r>
      <w:r w:rsidR="00FA0B5E">
        <w:t>g</w:t>
      </w:r>
      <w:r w:rsidR="000204CF">
        <w:t xml:space="preserve"> team to ensure timely and efficient delivery of budgeting and planning services to the </w:t>
      </w:r>
      <w:r w:rsidR="00D15F27">
        <w:t>Department.</w:t>
      </w:r>
    </w:p>
    <w:p w14:paraId="59DF402F" w14:textId="3C8C63D1" w:rsidR="000204CF" w:rsidRDefault="000204CF" w:rsidP="004C3421">
      <w:pPr>
        <w:pStyle w:val="ListParagraph"/>
        <w:numPr>
          <w:ilvl w:val="0"/>
          <w:numId w:val="18"/>
        </w:numPr>
        <w:spacing w:after="0" w:line="276" w:lineRule="auto"/>
        <w:ind w:left="360" w:hanging="360"/>
        <w:jc w:val="both"/>
      </w:pPr>
      <w:r>
        <w:t>Ensures all aspects of the budgeting function are performed in compliance with best practice.</w:t>
      </w:r>
    </w:p>
    <w:p w14:paraId="6CE6FC63" w14:textId="0F9D5C15" w:rsidR="00660F8C" w:rsidRPr="00391D68" w:rsidRDefault="00660F8C" w:rsidP="004C3421">
      <w:pPr>
        <w:pStyle w:val="ListParagraph"/>
        <w:numPr>
          <w:ilvl w:val="0"/>
          <w:numId w:val="18"/>
        </w:numPr>
        <w:spacing w:after="0" w:line="276" w:lineRule="auto"/>
        <w:ind w:left="360" w:hanging="360"/>
        <w:jc w:val="both"/>
        <w:rPr>
          <w:color w:val="auto"/>
        </w:rPr>
      </w:pPr>
      <w:r w:rsidRPr="002D59CE">
        <w:t xml:space="preserve">Demonstrates the expected leadership behaviours </w:t>
      </w:r>
      <w:r w:rsidR="00051DCC">
        <w:t>appropriate to</w:t>
      </w:r>
      <w:r w:rsidR="00051DCC" w:rsidRPr="002D59CE">
        <w:t xml:space="preserve"> </w:t>
      </w:r>
      <w:r w:rsidRPr="002D59CE">
        <w:t>the context of the role.</w:t>
      </w:r>
    </w:p>
    <w:p w14:paraId="7F29C02D" w14:textId="77777777" w:rsidR="00190BD1" w:rsidRDefault="00190BD1" w:rsidP="00190BD1">
      <w:pPr>
        <w:spacing w:after="0" w:line="240" w:lineRule="auto"/>
        <w:rPr>
          <w:b/>
          <w:bCs/>
        </w:rPr>
      </w:pPr>
    </w:p>
    <w:p w14:paraId="604850F9" w14:textId="593FC9B3" w:rsidR="00F23D98" w:rsidRPr="00F23D98" w:rsidRDefault="00F23D98" w:rsidP="004C3421">
      <w:pPr>
        <w:spacing w:after="0" w:line="240" w:lineRule="auto"/>
        <w:rPr>
          <w:b/>
          <w:bCs/>
        </w:rPr>
      </w:pPr>
      <w:r w:rsidRPr="00F23D98">
        <w:rPr>
          <w:b/>
          <w:bCs/>
        </w:rPr>
        <w:t>Communication and liaison</w:t>
      </w:r>
    </w:p>
    <w:p w14:paraId="3EB54294" w14:textId="236766B4" w:rsidR="000204CF" w:rsidRDefault="000204CF" w:rsidP="004C3421">
      <w:pPr>
        <w:pStyle w:val="ListParagraph"/>
        <w:numPr>
          <w:ilvl w:val="0"/>
          <w:numId w:val="18"/>
        </w:numPr>
        <w:spacing w:after="0" w:line="276" w:lineRule="auto"/>
        <w:ind w:left="360" w:hanging="360"/>
        <w:jc w:val="both"/>
      </w:pPr>
      <w:r>
        <w:t xml:space="preserve">Builds and maintains effective communication and working relationships </w:t>
      </w:r>
      <w:r w:rsidR="00051DCC">
        <w:t>across the D</w:t>
      </w:r>
      <w:r w:rsidR="00097920">
        <w:t>ivision</w:t>
      </w:r>
      <w:r w:rsidR="00051DCC">
        <w:t>,</w:t>
      </w:r>
      <w:r w:rsidR="00097920">
        <w:t xml:space="preserve"> </w:t>
      </w:r>
      <w:r>
        <w:t>provid</w:t>
      </w:r>
      <w:r w:rsidR="00051DCC">
        <w:t>ing</w:t>
      </w:r>
      <w:r>
        <w:t xml:space="preserve"> high</w:t>
      </w:r>
      <w:r w:rsidR="00051DCC">
        <w:t>-</w:t>
      </w:r>
      <w:r>
        <w:t>level advice and support in relation to the Department’s financial and corporate governance services.</w:t>
      </w:r>
    </w:p>
    <w:p w14:paraId="4AC809FF" w14:textId="4EB9F223" w:rsidR="000204CF" w:rsidRDefault="000204CF" w:rsidP="004C3421">
      <w:pPr>
        <w:pStyle w:val="ListParagraph"/>
        <w:numPr>
          <w:ilvl w:val="0"/>
          <w:numId w:val="18"/>
        </w:numPr>
        <w:spacing w:after="0" w:line="276" w:lineRule="auto"/>
        <w:ind w:left="360" w:hanging="360"/>
        <w:jc w:val="both"/>
      </w:pPr>
      <w:r>
        <w:t xml:space="preserve">Builds and maintains effective working relationships with external </w:t>
      </w:r>
      <w:r w:rsidR="00051DCC">
        <w:t xml:space="preserve">stakeholders </w:t>
      </w:r>
      <w:r>
        <w:t>(</w:t>
      </w:r>
      <w:r w:rsidR="00051DCC">
        <w:t>including</w:t>
      </w:r>
      <w:r>
        <w:t xml:space="preserve"> </w:t>
      </w:r>
      <w:r w:rsidR="00051DCC">
        <w:t xml:space="preserve">the </w:t>
      </w:r>
      <w:r>
        <w:t>Department of Treasury</w:t>
      </w:r>
      <w:r w:rsidR="00051DCC">
        <w:t xml:space="preserve"> and Finance </w:t>
      </w:r>
      <w:r>
        <w:t xml:space="preserve">and </w:t>
      </w:r>
      <w:r w:rsidR="00051DCC">
        <w:t xml:space="preserve">the </w:t>
      </w:r>
      <w:r>
        <w:t>Office of the Auditor General) on the provision of business services and ensures appropriate liaison, consultation and negotiation occurs to meet the Department’s objectives.</w:t>
      </w:r>
    </w:p>
    <w:p w14:paraId="77345A7E" w14:textId="441C2835" w:rsidR="000204CF" w:rsidRDefault="000204CF" w:rsidP="004C3421">
      <w:pPr>
        <w:pStyle w:val="ListParagraph"/>
        <w:numPr>
          <w:ilvl w:val="0"/>
          <w:numId w:val="18"/>
        </w:numPr>
        <w:spacing w:after="0" w:line="276" w:lineRule="auto"/>
        <w:ind w:left="360" w:hanging="360"/>
        <w:jc w:val="both"/>
      </w:pPr>
      <w:r>
        <w:t xml:space="preserve">Represents the </w:t>
      </w:r>
      <w:r w:rsidR="00051DCC">
        <w:t>D</w:t>
      </w:r>
      <w:r>
        <w:t>irectorate and the Department on relevant forums, committees, reviews and working parties</w:t>
      </w:r>
      <w:r w:rsidR="00051DCC">
        <w:t>,</w:t>
      </w:r>
      <w:r>
        <w:t xml:space="preserve"> </w:t>
      </w:r>
      <w:r w:rsidR="00051DCC">
        <w:t xml:space="preserve">as </w:t>
      </w:r>
      <w:r>
        <w:t>required.</w:t>
      </w:r>
    </w:p>
    <w:p w14:paraId="2E809254" w14:textId="073F6215" w:rsidR="000204CF" w:rsidRDefault="000204CF" w:rsidP="004C3421">
      <w:pPr>
        <w:pStyle w:val="ListParagraph"/>
        <w:numPr>
          <w:ilvl w:val="0"/>
          <w:numId w:val="18"/>
        </w:numPr>
        <w:spacing w:after="0" w:line="276" w:lineRule="auto"/>
        <w:ind w:left="360" w:hanging="360"/>
        <w:jc w:val="both"/>
      </w:pPr>
      <w:r>
        <w:t>Prepare</w:t>
      </w:r>
      <w:r w:rsidR="00051DCC">
        <w:t>s</w:t>
      </w:r>
      <w:r>
        <w:t xml:space="preserve"> briefing notes for Budget Estimates Committee meetings</w:t>
      </w:r>
      <w:r w:rsidR="00051DCC">
        <w:t>,</w:t>
      </w:r>
      <w:r>
        <w:t xml:space="preserve"> as required</w:t>
      </w:r>
      <w:r w:rsidR="00D51227">
        <w:t>.</w:t>
      </w:r>
      <w:r>
        <w:t xml:space="preserve"> </w:t>
      </w:r>
    </w:p>
    <w:p w14:paraId="30CD04D8" w14:textId="25A27787" w:rsidR="00381EA2" w:rsidRDefault="00381EA2" w:rsidP="004C3421">
      <w:pPr>
        <w:pStyle w:val="ListParagraph"/>
        <w:numPr>
          <w:ilvl w:val="0"/>
          <w:numId w:val="18"/>
        </w:numPr>
        <w:spacing w:after="0" w:line="276" w:lineRule="auto"/>
        <w:ind w:left="360" w:hanging="360"/>
        <w:jc w:val="both"/>
      </w:pPr>
      <w:r w:rsidRPr="00D51227">
        <w:t>Prepares and assists with responses to Minister</w:t>
      </w:r>
      <w:r w:rsidR="00051DCC">
        <w:t>s</w:t>
      </w:r>
      <w:r w:rsidRPr="00D51227">
        <w:t>, Executive</w:t>
      </w:r>
      <w:r w:rsidR="00051DCC">
        <w:t>s</w:t>
      </w:r>
      <w:r w:rsidRPr="00D51227">
        <w:t xml:space="preserve">, Audit, Treasury, and other external stakeholders, </w:t>
      </w:r>
      <w:r w:rsidR="00051DCC">
        <w:t>as</w:t>
      </w:r>
      <w:r w:rsidR="00051DCC" w:rsidRPr="00D51227">
        <w:t xml:space="preserve"> </w:t>
      </w:r>
      <w:r w:rsidRPr="00D51227">
        <w:t>required.</w:t>
      </w:r>
    </w:p>
    <w:p w14:paraId="60AD4582" w14:textId="01FEE48F" w:rsidR="00E5107C" w:rsidRPr="004C3421" w:rsidRDefault="003C1483" w:rsidP="00E5107C">
      <w:pPr>
        <w:pStyle w:val="Heading1"/>
        <w:rPr>
          <w:sz w:val="24"/>
          <w:szCs w:val="24"/>
        </w:rPr>
      </w:pPr>
      <w:r w:rsidRPr="004C3421">
        <w:rPr>
          <w:sz w:val="24"/>
          <w:szCs w:val="24"/>
        </w:rPr>
        <w:t>C</w:t>
      </w:r>
      <w:r w:rsidR="00E5107C" w:rsidRPr="004C3421">
        <w:rPr>
          <w:sz w:val="24"/>
          <w:szCs w:val="24"/>
        </w:rPr>
        <w:t>orporate Responsibilities</w:t>
      </w:r>
    </w:p>
    <w:p w14:paraId="72506A2F" w14:textId="77777777" w:rsidR="00E5107C" w:rsidRPr="004C3421" w:rsidRDefault="00E5107C" w:rsidP="004C3421">
      <w:pPr>
        <w:pStyle w:val="ListParagraph"/>
        <w:numPr>
          <w:ilvl w:val="0"/>
          <w:numId w:val="18"/>
        </w:numPr>
        <w:spacing w:line="276" w:lineRule="auto"/>
        <w:ind w:left="360" w:hanging="360"/>
        <w:jc w:val="both"/>
        <w:rPr>
          <w:szCs w:val="24"/>
        </w:rPr>
      </w:pPr>
      <w:r w:rsidRPr="004C3421">
        <w:rPr>
          <w:szCs w:val="24"/>
        </w:rPr>
        <w:t>Exhibits accountability, professional integrity and respect consistent with DPC Values, the Code of Conduct, and the public sector Code of Ethics.</w:t>
      </w:r>
    </w:p>
    <w:p w14:paraId="120684BD" w14:textId="51D5FDE4" w:rsidR="00E5107C" w:rsidRPr="004C3421" w:rsidRDefault="00E5107C" w:rsidP="004C3421">
      <w:pPr>
        <w:pStyle w:val="ListParagraph"/>
        <w:numPr>
          <w:ilvl w:val="0"/>
          <w:numId w:val="18"/>
        </w:numPr>
        <w:spacing w:line="276" w:lineRule="auto"/>
        <w:ind w:left="360" w:hanging="360"/>
        <w:jc w:val="both"/>
        <w:rPr>
          <w:szCs w:val="24"/>
        </w:rPr>
      </w:pPr>
      <w:r w:rsidRPr="004C3421">
        <w:rPr>
          <w:szCs w:val="24"/>
        </w:rPr>
        <w:t xml:space="preserve">Takes reasonable care to protect your own safety and health at work, and that of others by co-operating with the safety and health policies and procedures of the Department and complying with all provisions of the </w:t>
      </w:r>
      <w:r w:rsidRPr="004C3421">
        <w:rPr>
          <w:i/>
          <w:iCs/>
          <w:szCs w:val="24"/>
        </w:rPr>
        <w:t>Work Health and Safety Act 2020</w:t>
      </w:r>
      <w:r w:rsidR="008F7B1C" w:rsidRPr="004C3421">
        <w:rPr>
          <w:szCs w:val="24"/>
        </w:rPr>
        <w:t>.</w:t>
      </w:r>
    </w:p>
    <w:p w14:paraId="0E1945B1" w14:textId="3B21B777" w:rsidR="000204CF" w:rsidRPr="004C3421" w:rsidRDefault="00E5107C" w:rsidP="004C3421">
      <w:pPr>
        <w:pStyle w:val="ListParagraph"/>
        <w:numPr>
          <w:ilvl w:val="0"/>
          <w:numId w:val="18"/>
        </w:numPr>
        <w:spacing w:line="276" w:lineRule="auto"/>
        <w:ind w:left="360" w:hanging="360"/>
        <w:jc w:val="both"/>
        <w:rPr>
          <w:szCs w:val="24"/>
        </w:rPr>
      </w:pPr>
      <w:r w:rsidRPr="004C3421">
        <w:rPr>
          <w:szCs w:val="24"/>
        </w:rPr>
        <w:t>Undertakes other duties as required.</w:t>
      </w:r>
    </w:p>
    <w:p w14:paraId="165D7787" w14:textId="77777777" w:rsidR="00160381" w:rsidRPr="004C3421" w:rsidRDefault="00160381" w:rsidP="00160381">
      <w:pPr>
        <w:pStyle w:val="Heading1"/>
        <w:rPr>
          <w:sz w:val="24"/>
          <w:szCs w:val="24"/>
        </w:rPr>
      </w:pPr>
      <w:r w:rsidRPr="004C3421">
        <w:rPr>
          <w:sz w:val="24"/>
          <w:szCs w:val="24"/>
        </w:rPr>
        <w:t>Building Leadership Impact</w:t>
      </w:r>
    </w:p>
    <w:p w14:paraId="1ABF2C85" w14:textId="77777777" w:rsidR="00160381" w:rsidRPr="005835D9" w:rsidRDefault="00160381" w:rsidP="004C3421">
      <w:pPr>
        <w:spacing w:line="276" w:lineRule="auto"/>
        <w:jc w:val="both"/>
      </w:pPr>
      <w:r w:rsidRPr="005835D9">
        <w:t xml:space="preserve">We consider all our people as leaders. We believe leadership to be critical to the success of the Department and the public sector and, to support this, we have adopted </w:t>
      </w:r>
      <w:hyperlink r:id="rId11" w:history="1">
        <w:r w:rsidRPr="005835D9">
          <w:rPr>
            <w:rStyle w:val="Hyperlink"/>
            <w:b/>
            <w:bCs/>
            <w:color w:val="6AA489" w:themeColor="accent3"/>
          </w:rPr>
          <w:t>Leadership Expectations</w:t>
        </w:r>
      </w:hyperlink>
      <w:r w:rsidRPr="005835D9">
        <w:rPr>
          <w:b/>
          <w:bCs/>
          <w:color w:val="6AA489" w:themeColor="accent3"/>
        </w:rPr>
        <w:t xml:space="preserve">. </w:t>
      </w:r>
    </w:p>
    <w:p w14:paraId="677F3692" w14:textId="33529BE6" w:rsidR="00160381" w:rsidRDefault="00160381" w:rsidP="004C3421">
      <w:pPr>
        <w:spacing w:line="276" w:lineRule="auto"/>
        <w:jc w:val="both"/>
      </w:pPr>
      <w:r w:rsidRPr="005835D9">
        <w:t xml:space="preserve">This role operates in the </w:t>
      </w:r>
      <w:hyperlink r:id="rId12" w:history="1">
        <w:r w:rsidR="008301EB" w:rsidRPr="005835D9">
          <w:rPr>
            <w:rStyle w:val="Hyperlink"/>
            <w:b/>
            <w:bCs/>
          </w:rPr>
          <w:t xml:space="preserve">Leading </w:t>
        </w:r>
        <w:r w:rsidR="00840D69" w:rsidRPr="005835D9">
          <w:rPr>
            <w:rStyle w:val="Hyperlink"/>
            <w:b/>
            <w:bCs/>
          </w:rPr>
          <w:t>Other</w:t>
        </w:r>
      </w:hyperlink>
      <w:r w:rsidR="00840D69" w:rsidRPr="005835D9">
        <w:rPr>
          <w:rStyle w:val="Hyperlink"/>
          <w:b/>
          <w:bCs/>
        </w:rPr>
        <w:t>s</w:t>
      </w:r>
      <w:r w:rsidRPr="005835D9">
        <w:t xml:space="preserve"> context, where leadership is about </w:t>
      </w:r>
      <w:r w:rsidR="00EA14EE" w:rsidRPr="005835D9">
        <w:rPr>
          <w:rFonts w:hint="cs"/>
        </w:rPr>
        <w:t>getting results through leaders and their teams in a single business area, and by influencing leaders in other business areas</w:t>
      </w:r>
      <w:r w:rsidR="00EA14EE" w:rsidRPr="005835D9">
        <w:t xml:space="preserve">. </w:t>
      </w:r>
    </w:p>
    <w:p w14:paraId="6C5F3917" w14:textId="77777777" w:rsidR="004C3421" w:rsidRDefault="00190BD1" w:rsidP="004C3421">
      <w:r w:rsidRPr="004C3421">
        <w:rPr>
          <w:b/>
          <w:bCs/>
        </w:rPr>
        <w:t>Lead collectively</w:t>
      </w:r>
    </w:p>
    <w:p w14:paraId="741DB99D" w14:textId="01B3DE2E" w:rsidR="00190BD1" w:rsidRPr="00392C01" w:rsidRDefault="00190BD1" w:rsidP="004C3421">
      <w:pPr>
        <w:spacing w:line="276" w:lineRule="auto"/>
        <w:jc w:val="both"/>
      </w:pPr>
      <w:r w:rsidRPr="00392C01">
        <w:t>You work proactively to create shared thinking and understanding across your team. You seek to build and maintain effective working relationships with others and are mindful of the partnerships that support your efforts to deliver value for your team and work area.</w:t>
      </w:r>
    </w:p>
    <w:p w14:paraId="015EFCEC" w14:textId="77777777" w:rsidR="004C3421" w:rsidRDefault="00190BD1" w:rsidP="004C3421">
      <w:pPr>
        <w:rPr>
          <w:b/>
          <w:bCs/>
        </w:rPr>
      </w:pPr>
      <w:r w:rsidRPr="00190BD1">
        <w:rPr>
          <w:b/>
          <w:bCs/>
        </w:rPr>
        <w:t>Think through complexity</w:t>
      </w:r>
    </w:p>
    <w:p w14:paraId="3366A4A3" w14:textId="48A1C713" w:rsidR="00190BD1" w:rsidRPr="00190BD1" w:rsidRDefault="00190BD1" w:rsidP="004C3421">
      <w:pPr>
        <w:spacing w:line="276" w:lineRule="auto"/>
        <w:jc w:val="both"/>
      </w:pPr>
      <w:r w:rsidRPr="00190BD1">
        <w:t xml:space="preserve">You think critically and strategically to solve problems and enhance effectiveness across your team or work area. You support your team or work group to take a </w:t>
      </w:r>
      <w:r w:rsidR="00051DCC" w:rsidRPr="00190BD1">
        <w:t>solution</w:t>
      </w:r>
      <w:r w:rsidRPr="00190BD1">
        <w:t xml:space="preserve"> focused approach, </w:t>
      </w:r>
      <w:proofErr w:type="gramStart"/>
      <w:r w:rsidRPr="00190BD1">
        <w:t>intervening</w:t>
      </w:r>
      <w:proofErr w:type="gramEnd"/>
      <w:r w:rsidRPr="00190BD1">
        <w:t xml:space="preserve"> when necessary</w:t>
      </w:r>
      <w:r w:rsidR="00051DCC">
        <w:t>,</w:t>
      </w:r>
      <w:r w:rsidRPr="00190BD1">
        <w:t xml:space="preserve"> with technical knowledge to ensure application of robust knowledge and customer orientation</w:t>
      </w:r>
    </w:p>
    <w:p w14:paraId="7A973994" w14:textId="77777777" w:rsidR="004C3421" w:rsidRDefault="00190BD1" w:rsidP="004C3421">
      <w:pPr>
        <w:spacing w:line="276" w:lineRule="auto"/>
        <w:rPr>
          <w:b/>
          <w:bCs/>
        </w:rPr>
      </w:pPr>
      <w:r w:rsidRPr="00190BD1">
        <w:rPr>
          <w:b/>
          <w:bCs/>
        </w:rPr>
        <w:t>Dynamically sense the environment</w:t>
      </w:r>
    </w:p>
    <w:p w14:paraId="03C6CA93" w14:textId="547A8042" w:rsidR="00190BD1" w:rsidRPr="00190BD1" w:rsidRDefault="00190BD1" w:rsidP="004C3421">
      <w:pPr>
        <w:spacing w:line="276" w:lineRule="auto"/>
        <w:jc w:val="both"/>
      </w:pPr>
      <w:r w:rsidRPr="00190BD1">
        <w:t>You listen to and understand the needs of others in your work environment. Your approach is to seek a shared understanding among your team and peers and your own leaders.</w:t>
      </w:r>
    </w:p>
    <w:p w14:paraId="7837F985" w14:textId="77777777" w:rsidR="004C3421" w:rsidRDefault="004C3421" w:rsidP="004C3421">
      <w:pPr>
        <w:rPr>
          <w:b/>
          <w:bCs/>
        </w:rPr>
      </w:pPr>
    </w:p>
    <w:p w14:paraId="5F7B3A2B" w14:textId="48FBA00D" w:rsidR="004C3421" w:rsidRDefault="00190BD1" w:rsidP="004C3421">
      <w:pPr>
        <w:rPr>
          <w:b/>
          <w:bCs/>
        </w:rPr>
      </w:pPr>
      <w:r w:rsidRPr="00190BD1">
        <w:rPr>
          <w:b/>
          <w:bCs/>
        </w:rPr>
        <w:t>Deliver on high leverage areas</w:t>
      </w:r>
    </w:p>
    <w:p w14:paraId="3CBB26CB" w14:textId="1C9D7416" w:rsidR="00190BD1" w:rsidRPr="005835D9" w:rsidRDefault="00190BD1" w:rsidP="004C3421">
      <w:pPr>
        <w:spacing w:line="276" w:lineRule="auto"/>
        <w:jc w:val="both"/>
        <w:rPr>
          <w:rFonts w:eastAsiaTheme="majorEastAsia" w:cs="Times New Roman (Headings CS)"/>
          <w:b/>
          <w:color w:val="CC5733"/>
        </w:rPr>
      </w:pPr>
      <w:r w:rsidRPr="00190BD1">
        <w:t xml:space="preserve">You identify and understand the competing priorities of your work area, prioritising essential tasks and </w:t>
      </w:r>
      <w:r w:rsidR="00051DCC" w:rsidRPr="00190BD1">
        <w:t>adjusting</w:t>
      </w:r>
      <w:r w:rsidRPr="00190BD1">
        <w:t xml:space="preserve"> as appropriate. You train others to think about their work and how it relates to high leverage </w:t>
      </w:r>
      <w:r w:rsidR="00051DCC" w:rsidRPr="00190BD1">
        <w:t>areas and</w:t>
      </w:r>
      <w:r w:rsidRPr="00190BD1">
        <w:t xml:space="preserve"> monitor the implementation and completion of tasks.</w:t>
      </w:r>
    </w:p>
    <w:p w14:paraId="02726540" w14:textId="568B72E4" w:rsidR="00051DCC" w:rsidRPr="004C3421" w:rsidRDefault="00051DCC" w:rsidP="004C3421">
      <w:pPr>
        <w:pStyle w:val="Heading2"/>
        <w:rPr>
          <w:sz w:val="24"/>
          <w:szCs w:val="22"/>
        </w:rPr>
      </w:pPr>
      <w:r w:rsidRPr="004C3421">
        <w:rPr>
          <w:sz w:val="24"/>
          <w:szCs w:val="22"/>
        </w:rPr>
        <w:t>Work Related Capabilities (Selection Criteria) </w:t>
      </w:r>
      <w:bookmarkStart w:id="1" w:name="_Hlk190347327"/>
      <w:bookmarkStart w:id="2" w:name="_Hlk182213749"/>
    </w:p>
    <w:p w14:paraId="6A423349" w14:textId="6ABB84D1" w:rsidR="009C2B0C" w:rsidRPr="00051DCC" w:rsidRDefault="00051DCC" w:rsidP="00BC6E13">
      <w:pPr>
        <w:pStyle w:val="ListParagraph"/>
        <w:numPr>
          <w:ilvl w:val="0"/>
          <w:numId w:val="30"/>
        </w:numPr>
        <w:tabs>
          <w:tab w:val="left" w:pos="5841"/>
        </w:tabs>
        <w:spacing w:before="240" w:line="276" w:lineRule="auto"/>
        <w:jc w:val="both"/>
      </w:pPr>
      <w:r>
        <w:t>You have e</w:t>
      </w:r>
      <w:r w:rsidR="00381EA2" w:rsidRPr="00051DCC">
        <w:t>xtensive financial management experience</w:t>
      </w:r>
      <w:r>
        <w:t>,</w:t>
      </w:r>
      <w:r w:rsidR="00381EA2" w:rsidRPr="00051DCC">
        <w:t xml:space="preserve"> including </w:t>
      </w:r>
      <w:r w:rsidR="0061495E" w:rsidRPr="00051DCC">
        <w:t xml:space="preserve">the practical application of budget development, </w:t>
      </w:r>
      <w:r w:rsidR="00381EA2" w:rsidRPr="00051DCC">
        <w:t>management reporting, and corporate governance</w:t>
      </w:r>
      <w:r w:rsidR="0061495E" w:rsidRPr="00051DCC">
        <w:t xml:space="preserve"> within a large and complex organisation</w:t>
      </w:r>
      <w:r w:rsidR="00F9120B" w:rsidRPr="00051DCC">
        <w:t>.</w:t>
      </w:r>
    </w:p>
    <w:bookmarkEnd w:id="1"/>
    <w:p w14:paraId="4EC78488" w14:textId="36E3339F" w:rsidR="00381EA2" w:rsidRPr="004C3421" w:rsidRDefault="00051DCC" w:rsidP="00BC6E13">
      <w:pPr>
        <w:pStyle w:val="ListParagraph"/>
        <w:numPr>
          <w:ilvl w:val="0"/>
          <w:numId w:val="30"/>
        </w:numPr>
        <w:spacing w:line="276" w:lineRule="auto"/>
        <w:jc w:val="both"/>
        <w:rPr>
          <w:szCs w:val="24"/>
        </w:rPr>
      </w:pPr>
      <w:r>
        <w:rPr>
          <w:szCs w:val="24"/>
        </w:rPr>
        <w:t>You have d</w:t>
      </w:r>
      <w:r w:rsidR="00381EA2" w:rsidRPr="004C3421">
        <w:rPr>
          <w:szCs w:val="24"/>
        </w:rPr>
        <w:t xml:space="preserve">emonstrated knowledge of the public sector </w:t>
      </w:r>
      <w:r>
        <w:rPr>
          <w:szCs w:val="24"/>
        </w:rPr>
        <w:t xml:space="preserve">environment, including </w:t>
      </w:r>
      <w:r w:rsidR="00381EA2" w:rsidRPr="004C3421">
        <w:rPr>
          <w:szCs w:val="24"/>
        </w:rPr>
        <w:t>legislative framework, procedural requirements, Government policy, the Government budget process and contemporary financial management practice</w:t>
      </w:r>
      <w:r w:rsidR="00023B4D" w:rsidRPr="004C3421">
        <w:rPr>
          <w:szCs w:val="24"/>
        </w:rPr>
        <w:t>s</w:t>
      </w:r>
      <w:r w:rsidR="00A22C21" w:rsidRPr="004C3421">
        <w:rPr>
          <w:szCs w:val="24"/>
        </w:rPr>
        <w:t>.</w:t>
      </w:r>
    </w:p>
    <w:bookmarkEnd w:id="2"/>
    <w:p w14:paraId="500FFC85" w14:textId="4540319B" w:rsidR="000133BC" w:rsidRPr="004C3421" w:rsidRDefault="004E0418" w:rsidP="00BC6E13">
      <w:pPr>
        <w:pStyle w:val="ListParagraph"/>
        <w:numPr>
          <w:ilvl w:val="0"/>
          <w:numId w:val="30"/>
        </w:numPr>
        <w:spacing w:line="276" w:lineRule="auto"/>
        <w:jc w:val="both"/>
        <w:rPr>
          <w:szCs w:val="24"/>
        </w:rPr>
      </w:pPr>
      <w:r>
        <w:rPr>
          <w:szCs w:val="24"/>
        </w:rPr>
        <w:t xml:space="preserve">You hold a </w:t>
      </w:r>
      <w:r w:rsidR="000133BC" w:rsidRPr="004C3421">
        <w:rPr>
          <w:szCs w:val="24"/>
        </w:rPr>
        <w:t xml:space="preserve">tertiary qualification in finance, commerce, business or </w:t>
      </w:r>
      <w:r>
        <w:rPr>
          <w:szCs w:val="24"/>
        </w:rPr>
        <w:t xml:space="preserve">and </w:t>
      </w:r>
      <w:r w:rsidR="000133BC" w:rsidRPr="004C3421">
        <w:rPr>
          <w:szCs w:val="24"/>
        </w:rPr>
        <w:t>equivalent</w:t>
      </w:r>
      <w:r>
        <w:rPr>
          <w:szCs w:val="24"/>
        </w:rPr>
        <w:t xml:space="preserve"> discipline</w:t>
      </w:r>
      <w:r w:rsidR="00840D69" w:rsidRPr="004C3421">
        <w:rPr>
          <w:szCs w:val="24"/>
        </w:rPr>
        <w:t>.</w:t>
      </w:r>
      <w:r w:rsidR="000133BC" w:rsidRPr="004C3421">
        <w:rPr>
          <w:szCs w:val="24"/>
        </w:rPr>
        <w:t xml:space="preserve">  </w:t>
      </w:r>
    </w:p>
    <w:p w14:paraId="34EB30F5" w14:textId="14FCFF1E" w:rsidR="00D51227" w:rsidRPr="004C3421" w:rsidRDefault="00D51227" w:rsidP="00D51227">
      <w:pPr>
        <w:keepNext/>
        <w:keepLines/>
        <w:spacing w:before="360"/>
        <w:outlineLvl w:val="1"/>
        <w:rPr>
          <w:rFonts w:eastAsiaTheme="majorEastAsia"/>
          <w:b/>
          <w:color w:val="CC5733"/>
        </w:rPr>
      </w:pPr>
      <w:r w:rsidRPr="004C3421">
        <w:rPr>
          <w:rFonts w:eastAsiaTheme="majorEastAsia"/>
          <w:b/>
          <w:color w:val="CC5733"/>
        </w:rPr>
        <w:t xml:space="preserve">Desirable </w:t>
      </w:r>
    </w:p>
    <w:p w14:paraId="72F03D8A" w14:textId="037980DC" w:rsidR="00CB0FE2" w:rsidRPr="004C3421" w:rsidRDefault="00840D69" w:rsidP="00BC6E13">
      <w:pPr>
        <w:pStyle w:val="ListParagraph"/>
        <w:numPr>
          <w:ilvl w:val="0"/>
          <w:numId w:val="23"/>
        </w:numPr>
        <w:spacing w:line="276" w:lineRule="auto"/>
        <w:jc w:val="both"/>
        <w:rPr>
          <w:szCs w:val="24"/>
        </w:rPr>
      </w:pPr>
      <w:r w:rsidRPr="004C3421">
        <w:rPr>
          <w:szCs w:val="24"/>
        </w:rPr>
        <w:t>Working towards</w:t>
      </w:r>
      <w:r w:rsidR="004E0418">
        <w:rPr>
          <w:szCs w:val="24"/>
        </w:rPr>
        <w:t>,</w:t>
      </w:r>
      <w:r w:rsidRPr="004C3421">
        <w:rPr>
          <w:szCs w:val="24"/>
        </w:rPr>
        <w:t xml:space="preserve"> or </w:t>
      </w:r>
      <w:r w:rsidR="004E0418" w:rsidRPr="004C3421">
        <w:rPr>
          <w:szCs w:val="24"/>
        </w:rPr>
        <w:t>h</w:t>
      </w:r>
      <w:r w:rsidR="004E0418">
        <w:rPr>
          <w:szCs w:val="24"/>
        </w:rPr>
        <w:t>old,</w:t>
      </w:r>
      <w:r w:rsidR="004E0418" w:rsidRPr="004C3421">
        <w:rPr>
          <w:szCs w:val="24"/>
        </w:rPr>
        <w:t xml:space="preserve"> </w:t>
      </w:r>
      <w:r w:rsidRPr="004C3421">
        <w:rPr>
          <w:szCs w:val="24"/>
        </w:rPr>
        <w:t>current membership of CPA Australia, the Institute of Chartered Accountants (Australia), the National Institute of Accountants or an</w:t>
      </w:r>
      <w:r w:rsidR="004E0418">
        <w:rPr>
          <w:szCs w:val="24"/>
        </w:rPr>
        <w:t>other</w:t>
      </w:r>
      <w:r w:rsidRPr="004C3421">
        <w:rPr>
          <w:szCs w:val="24"/>
        </w:rPr>
        <w:t xml:space="preserve"> appropriate</w:t>
      </w:r>
      <w:r w:rsidR="004E0418">
        <w:rPr>
          <w:szCs w:val="24"/>
        </w:rPr>
        <w:t>ly</w:t>
      </w:r>
      <w:r w:rsidRPr="004C3421">
        <w:rPr>
          <w:szCs w:val="24"/>
        </w:rPr>
        <w:t xml:space="preserve"> recognised </w:t>
      </w:r>
      <w:r w:rsidR="004E0418">
        <w:rPr>
          <w:szCs w:val="24"/>
        </w:rPr>
        <w:t xml:space="preserve">professional </w:t>
      </w:r>
      <w:r w:rsidRPr="004C3421">
        <w:rPr>
          <w:szCs w:val="24"/>
        </w:rPr>
        <w:t xml:space="preserve">accounting body. </w:t>
      </w:r>
    </w:p>
    <w:p w14:paraId="31E4BCE9" w14:textId="77777777" w:rsidR="005B58E3" w:rsidRPr="004C3421" w:rsidRDefault="005B58E3" w:rsidP="005B58E3">
      <w:pPr>
        <w:pStyle w:val="Heading2"/>
        <w:rPr>
          <w:sz w:val="24"/>
          <w:szCs w:val="24"/>
        </w:rPr>
      </w:pPr>
      <w:r w:rsidRPr="004C3421">
        <w:rPr>
          <w:sz w:val="24"/>
          <w:szCs w:val="24"/>
        </w:rPr>
        <w:t>Eligibility Requirements</w:t>
      </w:r>
    </w:p>
    <w:p w14:paraId="56857DFE" w14:textId="77777777" w:rsidR="00190BD1" w:rsidRPr="00190BD1" w:rsidRDefault="00190BD1" w:rsidP="004C3421">
      <w:pPr>
        <w:spacing w:line="276" w:lineRule="auto"/>
        <w:jc w:val="both"/>
      </w:pPr>
      <w:r w:rsidRPr="00190BD1">
        <w:t xml:space="preserve">For permanent appointments you must also be eligible to live and work in Australia indefinitely. Employees engaged on fixed term appointments will require a valid work visa for the duration of their contract. </w:t>
      </w:r>
    </w:p>
    <w:p w14:paraId="5EA674C3" w14:textId="2ED586EB" w:rsidR="00190BD1" w:rsidRPr="00190BD1" w:rsidRDefault="00190BD1" w:rsidP="004C3421">
      <w:pPr>
        <w:spacing w:line="276" w:lineRule="auto"/>
        <w:jc w:val="both"/>
      </w:pPr>
      <w:r w:rsidRPr="00190BD1">
        <w:t xml:space="preserve">Appointments are also subject to a 100-point identification check and satisfactory Criminal Records Screening Clearance. </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019B14E0" w14:textId="55D2C1C9" w:rsidR="004B2309" w:rsidRPr="00C201F1" w:rsidRDefault="004B2309" w:rsidP="004B2309"/>
        </w:tc>
        <w:tc>
          <w:tcPr>
            <w:tcW w:w="1701" w:type="dxa"/>
          </w:tcPr>
          <w:p w14:paraId="357C8B40" w14:textId="77777777" w:rsidR="005A2701" w:rsidRPr="00F7303D" w:rsidRDefault="005A2701" w:rsidP="005A2701">
            <w:pPr>
              <w:rPr>
                <w:rFonts w:ascii="Neue Haas Grotesk Text Pro" w:hAnsi="Neue Haas Grotesk Text Pro"/>
                <w:b/>
                <w:szCs w:val="22"/>
              </w:rPr>
            </w:pPr>
          </w:p>
        </w:tc>
        <w:tc>
          <w:tcPr>
            <w:tcW w:w="3119" w:type="dxa"/>
          </w:tcPr>
          <w:p w14:paraId="5949447C" w14:textId="12C3E5EF" w:rsidR="005A2701" w:rsidRDefault="00BC6E13" w:rsidP="00C47631">
            <w:pPr>
              <w:pStyle w:val="Heading3"/>
              <w:rPr>
                <w:sz w:val="24"/>
                <w:szCs w:val="22"/>
              </w:rPr>
            </w:pPr>
            <w:r>
              <w:rPr>
                <w:noProof/>
              </w:rPr>
              <w:drawing>
                <wp:anchor distT="0" distB="0" distL="114300" distR="114300" simplePos="0" relativeHeight="251658240" behindDoc="0" locked="0" layoutInCell="1" allowOverlap="1" wp14:anchorId="1291A451" wp14:editId="132C8D2D">
                  <wp:simplePos x="0" y="0"/>
                  <wp:positionH relativeFrom="column">
                    <wp:posOffset>-1325</wp:posOffset>
                  </wp:positionH>
                  <wp:positionV relativeFrom="paragraph">
                    <wp:posOffset>418272</wp:posOffset>
                  </wp:positionV>
                  <wp:extent cx="1264257" cy="621459"/>
                  <wp:effectExtent l="0" t="0" r="0" b="7620"/>
                  <wp:wrapNone/>
                  <wp:docPr id="1248067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67403" name="Picture 124806740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5886" cy="622260"/>
                          </a:xfrm>
                          <a:prstGeom prst="rect">
                            <a:avLst/>
                          </a:prstGeom>
                        </pic:spPr>
                      </pic:pic>
                    </a:graphicData>
                  </a:graphic>
                  <wp14:sizeRelH relativeFrom="margin">
                    <wp14:pctWidth>0</wp14:pctWidth>
                  </wp14:sizeRelH>
                  <wp14:sizeRelV relativeFrom="margin">
                    <wp14:pctHeight>0</wp14:pctHeight>
                  </wp14:sizeRelV>
                </wp:anchor>
              </w:drawing>
            </w:r>
            <w:r w:rsidR="00F7303D" w:rsidRPr="00F7303D">
              <w:rPr>
                <w:sz w:val="24"/>
                <w:szCs w:val="22"/>
              </w:rPr>
              <w:t>People Services:</w:t>
            </w:r>
          </w:p>
          <w:p w14:paraId="11348746" w14:textId="45DEE354" w:rsidR="00F7303D" w:rsidRDefault="00F7303D" w:rsidP="00F7303D"/>
          <w:p w14:paraId="05F6E0BC" w14:textId="046FDD46" w:rsidR="00F7303D" w:rsidRPr="00F7303D" w:rsidRDefault="00F7303D" w:rsidP="00F7303D"/>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78240578" w:rsidR="005A2701" w:rsidRPr="00070651" w:rsidRDefault="00AC73F2" w:rsidP="0033476B">
            <w:pPr>
              <w:pStyle w:val="Heading3"/>
              <w:ind w:hanging="113"/>
              <w:rPr>
                <w:sz w:val="24"/>
              </w:rPr>
            </w:pPr>
            <w:r w:rsidRPr="00070651">
              <w:rPr>
                <w:sz w:val="24"/>
              </w:rPr>
              <w:t>D</w:t>
            </w:r>
            <w:r w:rsidR="005A2701" w:rsidRPr="00070651">
              <w:rPr>
                <w:sz w:val="24"/>
              </w:rPr>
              <w:t>ate:</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5B58B95B" w:rsidR="005A2701" w:rsidRPr="00F7303D" w:rsidRDefault="00F7303D" w:rsidP="00C47631">
            <w:pPr>
              <w:pStyle w:val="Heading3"/>
              <w:rPr>
                <w:sz w:val="24"/>
                <w:szCs w:val="22"/>
              </w:rPr>
            </w:pPr>
            <w:r w:rsidRPr="00F7303D">
              <w:rPr>
                <w:sz w:val="24"/>
                <w:szCs w:val="22"/>
              </w:rPr>
              <w:t>Date:</w:t>
            </w:r>
            <w:r w:rsidR="00BC6E13">
              <w:rPr>
                <w:sz w:val="24"/>
                <w:szCs w:val="22"/>
              </w:rPr>
              <w:t xml:space="preserve"> </w:t>
            </w:r>
            <w:r w:rsidR="00BC6E13" w:rsidRPr="00BC6E13">
              <w:rPr>
                <w:color w:val="0000FF"/>
                <w:sz w:val="24"/>
                <w:szCs w:val="22"/>
              </w:rPr>
              <w:t>13 April 2026</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F45003">
      <w:headerReference w:type="default" r:id="rId14"/>
      <w:footerReference w:type="even" r:id="rId15"/>
      <w:footerReference w:type="default" r:id="rId16"/>
      <w:headerReference w:type="first" r:id="rId17"/>
      <w:footerReference w:type="first" r:id="rId18"/>
      <w:pgSz w:w="11906" w:h="16838"/>
      <w:pgMar w:top="1633" w:right="1332" w:bottom="106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2A6E" w14:textId="77777777" w:rsidR="0034670D" w:rsidRDefault="0034670D" w:rsidP="00756536">
      <w:pPr>
        <w:spacing w:after="0" w:line="240" w:lineRule="auto"/>
      </w:pPr>
      <w:r>
        <w:separator/>
      </w:r>
    </w:p>
  </w:endnote>
  <w:endnote w:type="continuationSeparator" w:id="0">
    <w:p w14:paraId="6034620A" w14:textId="77777777" w:rsidR="0034670D" w:rsidRDefault="0034670D"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1B505D33" w:rsidR="0033476B" w:rsidRPr="0033476B" w:rsidRDefault="0033476B" w:rsidP="0033476B">
    <w:pPr>
      <w:pStyle w:val="Footer"/>
      <w:ind w:right="360"/>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2E64822A" w:rsidR="0033476B" w:rsidRPr="0033476B" w:rsidRDefault="0033476B" w:rsidP="0033476B">
    <w:pPr>
      <w:pStyle w:val="Footer"/>
      <w:ind w:right="284"/>
      <w:jc w:val="right"/>
      <w:rPr>
        <w:color w:val="C24227"/>
        <w:sz w:val="21"/>
        <w:szCs w:val="21"/>
      </w:rPr>
    </w:pPr>
    <w:r w:rsidRPr="0033476B">
      <w:rPr>
        <w:color w:val="C24227"/>
        <w:sz w:val="20"/>
        <w:szCs w:val="20"/>
      </w:rPr>
      <w:t>Job Description Form</w:t>
    </w:r>
    <w:r>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86FA" w14:textId="77777777" w:rsidR="0034670D" w:rsidRDefault="0034670D" w:rsidP="00756536">
      <w:pPr>
        <w:spacing w:after="0" w:line="240" w:lineRule="auto"/>
      </w:pPr>
      <w:r>
        <w:separator/>
      </w:r>
    </w:p>
  </w:footnote>
  <w:footnote w:type="continuationSeparator" w:id="0">
    <w:p w14:paraId="1B4F49CB" w14:textId="77777777" w:rsidR="0034670D" w:rsidRDefault="0034670D"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144571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2A3E3F42">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80714325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8F"/>
    <w:multiLevelType w:val="hybridMultilevel"/>
    <w:tmpl w:val="6AA8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733CE"/>
    <w:multiLevelType w:val="hybridMultilevel"/>
    <w:tmpl w:val="CFCE8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693699"/>
    <w:multiLevelType w:val="hybridMultilevel"/>
    <w:tmpl w:val="3F1679A8"/>
    <w:lvl w:ilvl="0" w:tplc="0C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B7F60E1"/>
    <w:multiLevelType w:val="hybridMultilevel"/>
    <w:tmpl w:val="6F28F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7B11835"/>
    <w:multiLevelType w:val="hybridMultilevel"/>
    <w:tmpl w:val="5FD4D1DE"/>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BD392A"/>
    <w:multiLevelType w:val="hybridMultilevel"/>
    <w:tmpl w:val="73F28C2C"/>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972CCE"/>
    <w:multiLevelType w:val="hybridMultilevel"/>
    <w:tmpl w:val="0E2E4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D24CA0"/>
    <w:multiLevelType w:val="hybridMultilevel"/>
    <w:tmpl w:val="B20E41F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C52C42"/>
    <w:multiLevelType w:val="hybridMultilevel"/>
    <w:tmpl w:val="3A3ECA6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BE04A87"/>
    <w:multiLevelType w:val="hybridMultilevel"/>
    <w:tmpl w:val="8CE26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465386"/>
    <w:multiLevelType w:val="multilevel"/>
    <w:tmpl w:val="DCE831F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9"/>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7"/>
  </w:num>
  <w:num w:numId="5" w16cid:durableId="165638337">
    <w:abstractNumId w:val="14"/>
  </w:num>
  <w:num w:numId="6" w16cid:durableId="1123695853">
    <w:abstractNumId w:val="12"/>
  </w:num>
  <w:num w:numId="7" w16cid:durableId="1581137968">
    <w:abstractNumId w:val="5"/>
  </w:num>
  <w:num w:numId="8" w16cid:durableId="210381380">
    <w:abstractNumId w:val="8"/>
  </w:num>
  <w:num w:numId="9" w16cid:durableId="1667249357">
    <w:abstractNumId w:val="26"/>
  </w:num>
  <w:num w:numId="10" w16cid:durableId="1636334645">
    <w:abstractNumId w:val="16"/>
  </w:num>
  <w:num w:numId="11" w16cid:durableId="1816409002">
    <w:abstractNumId w:val="10"/>
  </w:num>
  <w:num w:numId="12" w16cid:durableId="1771470451">
    <w:abstractNumId w:val="11"/>
  </w:num>
  <w:num w:numId="13" w16cid:durableId="2042582278">
    <w:abstractNumId w:val="24"/>
  </w:num>
  <w:num w:numId="14" w16cid:durableId="301085470">
    <w:abstractNumId w:val="18"/>
  </w:num>
  <w:num w:numId="15" w16cid:durableId="24185399">
    <w:abstractNumId w:val="2"/>
  </w:num>
  <w:num w:numId="16" w16cid:durableId="169490687">
    <w:abstractNumId w:val="15"/>
  </w:num>
  <w:num w:numId="17" w16cid:durableId="629700953">
    <w:abstractNumId w:val="1"/>
  </w:num>
  <w:num w:numId="18" w16cid:durableId="1341004227">
    <w:abstractNumId w:val="19"/>
  </w:num>
  <w:num w:numId="19" w16cid:durableId="1403017640">
    <w:abstractNumId w:val="21"/>
  </w:num>
  <w:num w:numId="20" w16cid:durableId="2100907256">
    <w:abstractNumId w:val="25"/>
  </w:num>
  <w:num w:numId="21" w16cid:durableId="1436559239">
    <w:abstractNumId w:val="4"/>
  </w:num>
  <w:num w:numId="22" w16cid:durableId="611744886">
    <w:abstractNumId w:val="22"/>
  </w:num>
  <w:num w:numId="23" w16cid:durableId="1642542864">
    <w:abstractNumId w:val="3"/>
  </w:num>
  <w:num w:numId="24" w16cid:durableId="1615594662">
    <w:abstractNumId w:val="7"/>
  </w:num>
  <w:num w:numId="25" w16cid:durableId="1610507436">
    <w:abstractNumId w:val="23"/>
  </w:num>
  <w:num w:numId="26" w16cid:durableId="145063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486336">
    <w:abstractNumId w:val="20"/>
  </w:num>
  <w:num w:numId="28" w16cid:durableId="1631324568">
    <w:abstractNumId w:val="3"/>
  </w:num>
  <w:num w:numId="29" w16cid:durableId="229778867">
    <w:abstractNumId w:val="0"/>
  </w:num>
  <w:num w:numId="30" w16cid:durableId="1837919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0841"/>
    <w:rsid w:val="0000341A"/>
    <w:rsid w:val="000133BC"/>
    <w:rsid w:val="000204CF"/>
    <w:rsid w:val="00023B4D"/>
    <w:rsid w:val="00024C20"/>
    <w:rsid w:val="00024C81"/>
    <w:rsid w:val="00025438"/>
    <w:rsid w:val="00044FF3"/>
    <w:rsid w:val="00051CBF"/>
    <w:rsid w:val="00051DCC"/>
    <w:rsid w:val="0006478A"/>
    <w:rsid w:val="00070651"/>
    <w:rsid w:val="0008245A"/>
    <w:rsid w:val="00082B97"/>
    <w:rsid w:val="00083B4F"/>
    <w:rsid w:val="00093106"/>
    <w:rsid w:val="00096444"/>
    <w:rsid w:val="00096A30"/>
    <w:rsid w:val="00097920"/>
    <w:rsid w:val="000A6FA1"/>
    <w:rsid w:val="000B2F0B"/>
    <w:rsid w:val="000B4442"/>
    <w:rsid w:val="000B4527"/>
    <w:rsid w:val="000C751D"/>
    <w:rsid w:val="000D0F48"/>
    <w:rsid w:val="000D0FC9"/>
    <w:rsid w:val="000D4F2C"/>
    <w:rsid w:val="000E3F19"/>
    <w:rsid w:val="00111E6B"/>
    <w:rsid w:val="001235E9"/>
    <w:rsid w:val="00124E70"/>
    <w:rsid w:val="00126D75"/>
    <w:rsid w:val="00127E92"/>
    <w:rsid w:val="00132369"/>
    <w:rsid w:val="001341B6"/>
    <w:rsid w:val="00145E44"/>
    <w:rsid w:val="00160381"/>
    <w:rsid w:val="00172012"/>
    <w:rsid w:val="00172CD7"/>
    <w:rsid w:val="001744F5"/>
    <w:rsid w:val="00190BD1"/>
    <w:rsid w:val="001A0EA4"/>
    <w:rsid w:val="001A17B0"/>
    <w:rsid w:val="001A3750"/>
    <w:rsid w:val="001A4E52"/>
    <w:rsid w:val="001B27CF"/>
    <w:rsid w:val="001B52F9"/>
    <w:rsid w:val="001B7CD1"/>
    <w:rsid w:val="001D61A7"/>
    <w:rsid w:val="001F194D"/>
    <w:rsid w:val="001F32D2"/>
    <w:rsid w:val="001F7541"/>
    <w:rsid w:val="002001B6"/>
    <w:rsid w:val="00202D45"/>
    <w:rsid w:val="00202E43"/>
    <w:rsid w:val="002156DB"/>
    <w:rsid w:val="00230273"/>
    <w:rsid w:val="00246EF2"/>
    <w:rsid w:val="0024718E"/>
    <w:rsid w:val="0025697C"/>
    <w:rsid w:val="00257807"/>
    <w:rsid w:val="00260B8D"/>
    <w:rsid w:val="002656BC"/>
    <w:rsid w:val="002672F5"/>
    <w:rsid w:val="00267DC6"/>
    <w:rsid w:val="00280169"/>
    <w:rsid w:val="00283EB7"/>
    <w:rsid w:val="002843C7"/>
    <w:rsid w:val="002874CE"/>
    <w:rsid w:val="00287F64"/>
    <w:rsid w:val="002937C1"/>
    <w:rsid w:val="002956EB"/>
    <w:rsid w:val="002A255F"/>
    <w:rsid w:val="002A689C"/>
    <w:rsid w:val="002B657B"/>
    <w:rsid w:val="002D3E24"/>
    <w:rsid w:val="002D59CE"/>
    <w:rsid w:val="002D65EC"/>
    <w:rsid w:val="002D7228"/>
    <w:rsid w:val="002F286B"/>
    <w:rsid w:val="002F6976"/>
    <w:rsid w:val="00300C8A"/>
    <w:rsid w:val="003029DC"/>
    <w:rsid w:val="0030375D"/>
    <w:rsid w:val="003046E5"/>
    <w:rsid w:val="00311D98"/>
    <w:rsid w:val="00322E89"/>
    <w:rsid w:val="00326D33"/>
    <w:rsid w:val="0033476B"/>
    <w:rsid w:val="00341B4C"/>
    <w:rsid w:val="0034670D"/>
    <w:rsid w:val="003522C2"/>
    <w:rsid w:val="00352D19"/>
    <w:rsid w:val="0036514A"/>
    <w:rsid w:val="00381EA2"/>
    <w:rsid w:val="00383C69"/>
    <w:rsid w:val="00384751"/>
    <w:rsid w:val="0038541F"/>
    <w:rsid w:val="003855A3"/>
    <w:rsid w:val="0038580A"/>
    <w:rsid w:val="00391D68"/>
    <w:rsid w:val="00392F29"/>
    <w:rsid w:val="00394896"/>
    <w:rsid w:val="003A12FE"/>
    <w:rsid w:val="003A787A"/>
    <w:rsid w:val="003B36E4"/>
    <w:rsid w:val="003C1483"/>
    <w:rsid w:val="003C1C26"/>
    <w:rsid w:val="003C6FBD"/>
    <w:rsid w:val="003D60F6"/>
    <w:rsid w:val="003E35ED"/>
    <w:rsid w:val="003F3A58"/>
    <w:rsid w:val="00410AF9"/>
    <w:rsid w:val="00422282"/>
    <w:rsid w:val="00425B79"/>
    <w:rsid w:val="00430199"/>
    <w:rsid w:val="00430288"/>
    <w:rsid w:val="0043052A"/>
    <w:rsid w:val="0043328E"/>
    <w:rsid w:val="00434058"/>
    <w:rsid w:val="00440483"/>
    <w:rsid w:val="00460FF8"/>
    <w:rsid w:val="00462800"/>
    <w:rsid w:val="00465BE9"/>
    <w:rsid w:val="00471F7F"/>
    <w:rsid w:val="00474480"/>
    <w:rsid w:val="00477E21"/>
    <w:rsid w:val="004816C1"/>
    <w:rsid w:val="00487B4F"/>
    <w:rsid w:val="00497F38"/>
    <w:rsid w:val="004A3655"/>
    <w:rsid w:val="004A4EC3"/>
    <w:rsid w:val="004B2309"/>
    <w:rsid w:val="004B33A5"/>
    <w:rsid w:val="004B7466"/>
    <w:rsid w:val="004C1398"/>
    <w:rsid w:val="004C3421"/>
    <w:rsid w:val="004C4356"/>
    <w:rsid w:val="004C7E95"/>
    <w:rsid w:val="004D1341"/>
    <w:rsid w:val="004D49DC"/>
    <w:rsid w:val="004E000D"/>
    <w:rsid w:val="004E0418"/>
    <w:rsid w:val="004E1073"/>
    <w:rsid w:val="004F457E"/>
    <w:rsid w:val="004F78DC"/>
    <w:rsid w:val="00521C5C"/>
    <w:rsid w:val="005257D4"/>
    <w:rsid w:val="005313F9"/>
    <w:rsid w:val="005325BF"/>
    <w:rsid w:val="00536F4B"/>
    <w:rsid w:val="00537064"/>
    <w:rsid w:val="00552E11"/>
    <w:rsid w:val="00556A08"/>
    <w:rsid w:val="0057229A"/>
    <w:rsid w:val="005835D9"/>
    <w:rsid w:val="00591D90"/>
    <w:rsid w:val="005976FD"/>
    <w:rsid w:val="005A0738"/>
    <w:rsid w:val="005A2699"/>
    <w:rsid w:val="005A2701"/>
    <w:rsid w:val="005A4773"/>
    <w:rsid w:val="005A5579"/>
    <w:rsid w:val="005B58E3"/>
    <w:rsid w:val="005C4E58"/>
    <w:rsid w:val="005E2399"/>
    <w:rsid w:val="005E2416"/>
    <w:rsid w:val="005E688C"/>
    <w:rsid w:val="005F483B"/>
    <w:rsid w:val="00600E55"/>
    <w:rsid w:val="00601500"/>
    <w:rsid w:val="006066AC"/>
    <w:rsid w:val="00612944"/>
    <w:rsid w:val="0061495E"/>
    <w:rsid w:val="00621860"/>
    <w:rsid w:val="00631D31"/>
    <w:rsid w:val="0063482A"/>
    <w:rsid w:val="00647E4B"/>
    <w:rsid w:val="00660CE4"/>
    <w:rsid w:val="00660F8C"/>
    <w:rsid w:val="00663A81"/>
    <w:rsid w:val="00663B85"/>
    <w:rsid w:val="006657BA"/>
    <w:rsid w:val="00670C1B"/>
    <w:rsid w:val="0068201A"/>
    <w:rsid w:val="0069105D"/>
    <w:rsid w:val="00691958"/>
    <w:rsid w:val="00692439"/>
    <w:rsid w:val="006937A8"/>
    <w:rsid w:val="006A726E"/>
    <w:rsid w:val="006A7569"/>
    <w:rsid w:val="006B5357"/>
    <w:rsid w:val="006C1C4D"/>
    <w:rsid w:val="006D03B1"/>
    <w:rsid w:val="006D12DA"/>
    <w:rsid w:val="006D25F3"/>
    <w:rsid w:val="006E30D2"/>
    <w:rsid w:val="006E3A90"/>
    <w:rsid w:val="006E5201"/>
    <w:rsid w:val="006E7D90"/>
    <w:rsid w:val="006F17A8"/>
    <w:rsid w:val="00707479"/>
    <w:rsid w:val="0071017C"/>
    <w:rsid w:val="00721C5E"/>
    <w:rsid w:val="007241FE"/>
    <w:rsid w:val="00727985"/>
    <w:rsid w:val="00733555"/>
    <w:rsid w:val="00736E09"/>
    <w:rsid w:val="00741A75"/>
    <w:rsid w:val="00746389"/>
    <w:rsid w:val="00756536"/>
    <w:rsid w:val="00757A5A"/>
    <w:rsid w:val="007637AA"/>
    <w:rsid w:val="007702F4"/>
    <w:rsid w:val="0077506B"/>
    <w:rsid w:val="0078067E"/>
    <w:rsid w:val="007A1F18"/>
    <w:rsid w:val="007B2076"/>
    <w:rsid w:val="007B3962"/>
    <w:rsid w:val="007C34A0"/>
    <w:rsid w:val="007D1D83"/>
    <w:rsid w:val="007D5860"/>
    <w:rsid w:val="007E7FB0"/>
    <w:rsid w:val="007F76FD"/>
    <w:rsid w:val="0080269A"/>
    <w:rsid w:val="008243C4"/>
    <w:rsid w:val="008301EB"/>
    <w:rsid w:val="0083109A"/>
    <w:rsid w:val="0083598B"/>
    <w:rsid w:val="00840D69"/>
    <w:rsid w:val="008415E2"/>
    <w:rsid w:val="008531F0"/>
    <w:rsid w:val="0087479C"/>
    <w:rsid w:val="0087515C"/>
    <w:rsid w:val="00876B97"/>
    <w:rsid w:val="008846C1"/>
    <w:rsid w:val="00886B13"/>
    <w:rsid w:val="0089699D"/>
    <w:rsid w:val="008975F4"/>
    <w:rsid w:val="008A08BD"/>
    <w:rsid w:val="008A3F8E"/>
    <w:rsid w:val="008A510A"/>
    <w:rsid w:val="008D730F"/>
    <w:rsid w:val="008E0484"/>
    <w:rsid w:val="008F2736"/>
    <w:rsid w:val="008F510E"/>
    <w:rsid w:val="008F7B1C"/>
    <w:rsid w:val="009075E2"/>
    <w:rsid w:val="009128A6"/>
    <w:rsid w:val="00926333"/>
    <w:rsid w:val="00930738"/>
    <w:rsid w:val="009400A2"/>
    <w:rsid w:val="009518F8"/>
    <w:rsid w:val="00960873"/>
    <w:rsid w:val="009640D0"/>
    <w:rsid w:val="00971722"/>
    <w:rsid w:val="00996BA2"/>
    <w:rsid w:val="009A0D84"/>
    <w:rsid w:val="009C0ED6"/>
    <w:rsid w:val="009C2B0C"/>
    <w:rsid w:val="009D5F18"/>
    <w:rsid w:val="009E4C41"/>
    <w:rsid w:val="00A00846"/>
    <w:rsid w:val="00A00DF9"/>
    <w:rsid w:val="00A22C21"/>
    <w:rsid w:val="00A2480E"/>
    <w:rsid w:val="00A27C7A"/>
    <w:rsid w:val="00A34B2E"/>
    <w:rsid w:val="00A357AB"/>
    <w:rsid w:val="00A40911"/>
    <w:rsid w:val="00A43D35"/>
    <w:rsid w:val="00A45220"/>
    <w:rsid w:val="00A50C0D"/>
    <w:rsid w:val="00A518E1"/>
    <w:rsid w:val="00A66BB2"/>
    <w:rsid w:val="00A72186"/>
    <w:rsid w:val="00A75D6B"/>
    <w:rsid w:val="00A86D4C"/>
    <w:rsid w:val="00A95912"/>
    <w:rsid w:val="00AA416A"/>
    <w:rsid w:val="00AA4641"/>
    <w:rsid w:val="00AB4555"/>
    <w:rsid w:val="00AC73F2"/>
    <w:rsid w:val="00AD2BCF"/>
    <w:rsid w:val="00AD6967"/>
    <w:rsid w:val="00AE1B75"/>
    <w:rsid w:val="00AF0933"/>
    <w:rsid w:val="00AF5634"/>
    <w:rsid w:val="00B0049F"/>
    <w:rsid w:val="00B1554C"/>
    <w:rsid w:val="00B235EC"/>
    <w:rsid w:val="00B43240"/>
    <w:rsid w:val="00B57CC5"/>
    <w:rsid w:val="00B646FB"/>
    <w:rsid w:val="00B6635E"/>
    <w:rsid w:val="00B67FB4"/>
    <w:rsid w:val="00B717C8"/>
    <w:rsid w:val="00B75B09"/>
    <w:rsid w:val="00B77D26"/>
    <w:rsid w:val="00B8032C"/>
    <w:rsid w:val="00B821F3"/>
    <w:rsid w:val="00BB541C"/>
    <w:rsid w:val="00BB6F8F"/>
    <w:rsid w:val="00BC19D2"/>
    <w:rsid w:val="00BC23F5"/>
    <w:rsid w:val="00BC5C3F"/>
    <w:rsid w:val="00BC6E13"/>
    <w:rsid w:val="00BD0043"/>
    <w:rsid w:val="00BD082A"/>
    <w:rsid w:val="00BD1B8C"/>
    <w:rsid w:val="00BD5E3B"/>
    <w:rsid w:val="00BF2D09"/>
    <w:rsid w:val="00BF46EE"/>
    <w:rsid w:val="00C03AC2"/>
    <w:rsid w:val="00C05085"/>
    <w:rsid w:val="00C12467"/>
    <w:rsid w:val="00C12F9A"/>
    <w:rsid w:val="00C1597C"/>
    <w:rsid w:val="00C15B56"/>
    <w:rsid w:val="00C201F1"/>
    <w:rsid w:val="00C224F4"/>
    <w:rsid w:val="00C26E45"/>
    <w:rsid w:val="00C45F38"/>
    <w:rsid w:val="00C47631"/>
    <w:rsid w:val="00C50A17"/>
    <w:rsid w:val="00C639AF"/>
    <w:rsid w:val="00C705E9"/>
    <w:rsid w:val="00C84925"/>
    <w:rsid w:val="00C936DB"/>
    <w:rsid w:val="00CA05AD"/>
    <w:rsid w:val="00CA5560"/>
    <w:rsid w:val="00CA5815"/>
    <w:rsid w:val="00CA7BE5"/>
    <w:rsid w:val="00CB0FE2"/>
    <w:rsid w:val="00CB2DC6"/>
    <w:rsid w:val="00CB7F4F"/>
    <w:rsid w:val="00CC132B"/>
    <w:rsid w:val="00CD00BF"/>
    <w:rsid w:val="00CD0B02"/>
    <w:rsid w:val="00CE5243"/>
    <w:rsid w:val="00CF388B"/>
    <w:rsid w:val="00CF73DF"/>
    <w:rsid w:val="00D007E3"/>
    <w:rsid w:val="00D07586"/>
    <w:rsid w:val="00D15F27"/>
    <w:rsid w:val="00D173A8"/>
    <w:rsid w:val="00D2368C"/>
    <w:rsid w:val="00D504C0"/>
    <w:rsid w:val="00D51227"/>
    <w:rsid w:val="00D53DA2"/>
    <w:rsid w:val="00D61073"/>
    <w:rsid w:val="00D661CE"/>
    <w:rsid w:val="00D706EA"/>
    <w:rsid w:val="00D718AA"/>
    <w:rsid w:val="00D71E76"/>
    <w:rsid w:val="00D7570D"/>
    <w:rsid w:val="00D801DC"/>
    <w:rsid w:val="00D80F6F"/>
    <w:rsid w:val="00D867FD"/>
    <w:rsid w:val="00D96355"/>
    <w:rsid w:val="00DB20FB"/>
    <w:rsid w:val="00DB77A6"/>
    <w:rsid w:val="00DD3A2C"/>
    <w:rsid w:val="00DD3C31"/>
    <w:rsid w:val="00DD6DD6"/>
    <w:rsid w:val="00DE0CA9"/>
    <w:rsid w:val="00DE3A2E"/>
    <w:rsid w:val="00DE4D5A"/>
    <w:rsid w:val="00DF0B54"/>
    <w:rsid w:val="00DF7053"/>
    <w:rsid w:val="00DF7BA5"/>
    <w:rsid w:val="00E02BA3"/>
    <w:rsid w:val="00E03C7D"/>
    <w:rsid w:val="00E100E9"/>
    <w:rsid w:val="00E14C19"/>
    <w:rsid w:val="00E20516"/>
    <w:rsid w:val="00E23326"/>
    <w:rsid w:val="00E27521"/>
    <w:rsid w:val="00E301FD"/>
    <w:rsid w:val="00E4641B"/>
    <w:rsid w:val="00E5107C"/>
    <w:rsid w:val="00E601BD"/>
    <w:rsid w:val="00E61CE6"/>
    <w:rsid w:val="00E61EAF"/>
    <w:rsid w:val="00E63BC6"/>
    <w:rsid w:val="00E81BC8"/>
    <w:rsid w:val="00E8371E"/>
    <w:rsid w:val="00E85910"/>
    <w:rsid w:val="00E85998"/>
    <w:rsid w:val="00E97D77"/>
    <w:rsid w:val="00EA14EE"/>
    <w:rsid w:val="00EB0859"/>
    <w:rsid w:val="00EB2F3B"/>
    <w:rsid w:val="00EC45FB"/>
    <w:rsid w:val="00EC7340"/>
    <w:rsid w:val="00ED18BE"/>
    <w:rsid w:val="00ED68B9"/>
    <w:rsid w:val="00ED7D74"/>
    <w:rsid w:val="00EE11B4"/>
    <w:rsid w:val="00EE13A1"/>
    <w:rsid w:val="00EE1AA7"/>
    <w:rsid w:val="00EE4C7F"/>
    <w:rsid w:val="00EF2F5D"/>
    <w:rsid w:val="00F02587"/>
    <w:rsid w:val="00F156D2"/>
    <w:rsid w:val="00F16037"/>
    <w:rsid w:val="00F23D98"/>
    <w:rsid w:val="00F45003"/>
    <w:rsid w:val="00F51C71"/>
    <w:rsid w:val="00F55E96"/>
    <w:rsid w:val="00F6116F"/>
    <w:rsid w:val="00F6153B"/>
    <w:rsid w:val="00F717C2"/>
    <w:rsid w:val="00F72939"/>
    <w:rsid w:val="00F7303D"/>
    <w:rsid w:val="00F8784F"/>
    <w:rsid w:val="00F9120B"/>
    <w:rsid w:val="00F95B4C"/>
    <w:rsid w:val="00FA0B5E"/>
    <w:rsid w:val="00FA3B1A"/>
    <w:rsid w:val="00FA7287"/>
    <w:rsid w:val="00FB2D81"/>
    <w:rsid w:val="00FB4291"/>
    <w:rsid w:val="00FC120C"/>
    <w:rsid w:val="00FD4A04"/>
    <w:rsid w:val="00FE5411"/>
    <w:rsid w:val="00FE65D3"/>
    <w:rsid w:val="00FF28CE"/>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98412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Indented Bullet Solid,Dot Point,Bullet Points,List Paragraph1,List Paragraph11,Bullet point,List Paragraph111,L,F5 List Paragraph,Dot pt,CV text,Table text,Medium Grid 1 - Accent 21,Numbered Paragraph,List Paragraph2"/>
    <w:basedOn w:val="Normal"/>
    <w:link w:val="ListParagraphChar"/>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98412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CC5733"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customStyle="1" w:styleId="ListParagraphChar">
    <w:name w:val="List Paragraph Char"/>
    <w:aliases w:val="DPC List Paragraph P Char,Indented Bullet Solid Char,Dot Point Char,Bullet Points Char,List Paragraph1 Char,List Paragraph11 Char,Bullet point Char,List Paragraph111 Char,L Char,F5 List Paragraph Char,Dot pt Char,CV text Char"/>
    <w:basedOn w:val="DefaultParagraphFont"/>
    <w:link w:val="ListParagraph"/>
    <w:uiPriority w:val="34"/>
    <w:locked/>
    <w:rsid w:val="001A0EA4"/>
    <w:rPr>
      <w:rFonts w:ascii="Arial" w:hAnsi="Arial" w:cs="Calibri"/>
      <w:color w:val="000000" w:themeColor="text1"/>
      <w:szCs w:val="22"/>
      <w14:ligatures w14:val="standardContextual"/>
    </w:rPr>
  </w:style>
  <w:style w:type="character" w:styleId="UnresolvedMention">
    <w:name w:val="Unresolved Mention"/>
    <w:basedOn w:val="DefaultParagraphFont"/>
    <w:uiPriority w:val="99"/>
    <w:semiHidden/>
    <w:unhideWhenUsed/>
    <w:rsid w:val="0039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82740">
      <w:bodyDiv w:val="1"/>
      <w:marLeft w:val="0"/>
      <w:marRight w:val="0"/>
      <w:marTop w:val="0"/>
      <w:marBottom w:val="0"/>
      <w:divBdr>
        <w:top w:val="none" w:sz="0" w:space="0" w:color="auto"/>
        <w:left w:val="none" w:sz="0" w:space="0" w:color="auto"/>
        <w:bottom w:val="none" w:sz="0" w:space="0" w:color="auto"/>
        <w:right w:val="none" w:sz="0" w:space="0" w:color="auto"/>
      </w:divBdr>
    </w:div>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0818041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 w:id="21305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document-collections/leading-lead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C5733"/>
      </a:accent1>
      <a:accent2>
        <a:srgbClr val="7ABFC4"/>
      </a:accent2>
      <a:accent3>
        <a:srgbClr val="6AA489"/>
      </a:accent3>
      <a:accent4>
        <a:srgbClr val="F4BA4D"/>
      </a:accent4>
      <a:accent5>
        <a:srgbClr val="FCAB8F"/>
      </a:accent5>
      <a:accent6>
        <a:srgbClr val="22232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0D486EFD-65BC-4DE6-A820-132570A6F814}">
  <ds:schemaRefs>
    <ds:schemaRef ds:uri="http://schemas.microsoft.com/office/2006/metadata/properties"/>
    <ds:schemaRef ds:uri="http://www.w3.org/XML/1998/namespace"/>
    <ds:schemaRef ds:uri="c69012fe-9a92-4954-b0a7-853fae50b610"/>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991264a-cd92-493e-8f32-b2890e390722"/>
    <ds:schemaRef ds:uri="http://purl.org/dc/terms/"/>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4</Pages>
  <Words>1173</Words>
  <Characters>7338</Characters>
  <Application>Microsoft Office Word</Application>
  <DocSecurity>0</DocSecurity>
  <Lines>157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Monger, Phil</cp:lastModifiedBy>
  <cp:revision>91</cp:revision>
  <cp:lastPrinted>2026-04-15T04:44:00Z</cp:lastPrinted>
  <dcterms:created xsi:type="dcterms:W3CDTF">2024-12-12T07:15:00Z</dcterms:created>
  <dcterms:modified xsi:type="dcterms:W3CDTF">2026-04-15T04:44:00Z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NewReviewCycle">
    <vt:lpwstr/>
  </property>
  <property fmtid="{D5CDD505-2E9C-101B-9397-08002B2CF9AE}" pid="10" name="ContentTypeId">
    <vt:lpwstr>0x01010070D56267112CDC4FB0D8582F58FF7CE1</vt:lpwstr>
  </property>
  <property fmtid="{D5CDD505-2E9C-101B-9397-08002B2CF9AE}" pid="11" name="_AdHocReviewCycleID">
    <vt:i4>-697612221</vt:i4>
  </property>
  <property fmtid="{D5CDD505-2E9C-101B-9397-08002B2CF9AE}" pid="12" name="_EmailSubject">
    <vt:lpwstr>Re-signing JDFs</vt:lpwstr>
  </property>
  <property fmtid="{D5CDD505-2E9C-101B-9397-08002B2CF9AE}" pid="13" name="_AuthorEmail">
    <vt:lpwstr>cameron.patterson@dpc.wa.gov.au</vt:lpwstr>
  </property>
  <property fmtid="{D5CDD505-2E9C-101B-9397-08002B2CF9AE}" pid="14" name="_AuthorEmailDisplayName">
    <vt:lpwstr>Patterson, Cameron</vt:lpwstr>
  </property>
  <property fmtid="{D5CDD505-2E9C-101B-9397-08002B2CF9AE}" pid="15" name="_PreviousAdHocReviewCycleID">
    <vt:i4>-729723693</vt:i4>
  </property>
  <property fmtid="{D5CDD505-2E9C-101B-9397-08002B2CF9AE}" pid="16" name="_ReviewingToolsShownOnce">
    <vt:lpwstr/>
  </property>
</Properties>
</file>