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544D8F7B" w:rsidR="00161D57" w:rsidRPr="00407476" w:rsidRDefault="00161D57" w:rsidP="00460F3D">
      <w:pPr>
        <w:pStyle w:val="Heading1"/>
      </w:pPr>
      <w:r w:rsidRPr="00407476">
        <w:t>Job Desc</w:t>
      </w:r>
      <w:r w:rsidRPr="00291046">
        <w:t>rip</w:t>
      </w:r>
      <w:r w:rsidRPr="00407476">
        <w:t>tion Form</w:t>
      </w:r>
      <w:r w:rsidR="00CC6FD1" w:rsidRPr="00407476">
        <w:t xml:space="preserve"> – </w:t>
      </w:r>
      <w:r w:rsidR="00B26D6D">
        <w:t>Redress Officer</w:t>
      </w:r>
      <w:r w:rsidR="00BF75C1">
        <w:t xml:space="preserve">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60ABCCB1" w14:textId="656365BD" w:rsidR="00216769" w:rsidRDefault="00BF75C1" w:rsidP="004F034E">
            <w:pPr>
              <w:pStyle w:val="TableText"/>
            </w:pPr>
            <w:r>
              <w:t>Generic</w:t>
            </w:r>
          </w:p>
          <w:p w14:paraId="73AE0A4B" w14:textId="13AD3684" w:rsidR="002E4E74" w:rsidRPr="00E32F00" w:rsidRDefault="002E4E74" w:rsidP="004F034E">
            <w:pPr>
              <w:pStyle w:val="TableText"/>
            </w:pP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687E92FD" w:rsidR="00216769" w:rsidRPr="00E32F00" w:rsidRDefault="00AC21CB"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D44026">
                  <w:t>Level 4</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27F30FDE" w:rsidR="00216769" w:rsidRPr="00E32F00" w:rsidRDefault="00543E40" w:rsidP="004F034E">
            <w:pPr>
              <w:pStyle w:val="TableText"/>
            </w:pPr>
            <w:r>
              <w:t>Strategy and Performance Accountability</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7F9A218C" w:rsidR="00216769" w:rsidRPr="00E32F00" w:rsidRDefault="002A0A04" w:rsidP="004F034E">
            <w:pPr>
              <w:pStyle w:val="TableText"/>
            </w:pPr>
            <w:r>
              <w:t>Child Safeguarding Implementation Unit</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443796DF" w:rsidR="00216769" w:rsidRPr="00E32F00" w:rsidRDefault="00C8667B" w:rsidP="004F034E">
            <w:pPr>
              <w:pStyle w:val="TableText"/>
            </w:pPr>
            <w:r>
              <w:t>15589 – Principal Policy Officer, L7</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12B61207" w:rsidR="00216769" w:rsidRPr="00E32F00" w:rsidRDefault="00C8667B"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43CFED7B" w14:textId="2EA1DDD0" w:rsidR="00AC29F8" w:rsidRDefault="00AC29F8" w:rsidP="00AC29F8">
      <w:r>
        <w:t xml:space="preserve">To coordinate the Department of </w:t>
      </w:r>
      <w:r w:rsidR="006C1716">
        <w:t>Creative Industries, Tourism and Sport’s</w:t>
      </w:r>
      <w:r>
        <w:t xml:space="preserve"> participation in the National Redress Scheme including using departmental records to respond to requests for information.</w:t>
      </w:r>
    </w:p>
    <w:p w14:paraId="1AD6717C" w14:textId="40668E9D" w:rsidR="00AC29F8" w:rsidRDefault="00AC29F8" w:rsidP="00AC29F8">
      <w:r>
        <w:t>To assist in the development and implementation of key strategic frameworks, the delivery of priority programs and projects, and the engagement of key internal and external stakeholders relevant to Divisional and Departmental outcomes.</w:t>
      </w:r>
    </w:p>
    <w:p w14:paraId="1B5C7AF9" w14:textId="77777777" w:rsidR="00721D8B" w:rsidRDefault="00721D8B" w:rsidP="00721D8B">
      <w:pPr>
        <w:spacing w:before="0"/>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150702FE" w14:textId="3A057719" w:rsidR="00B2642F" w:rsidRDefault="00BF75C1" w:rsidP="00BF75C1">
      <w:pPr>
        <w:rPr>
          <w:rFonts w:cs="Arial"/>
        </w:rPr>
      </w:pPr>
      <w:r w:rsidRPr="00BF75C1">
        <w:rPr>
          <w:rFonts w:cs="Arial"/>
        </w:rPr>
        <w:t>Strategy and Performance Accountability partners collaboratively with all business areas to deliver agency</w:t>
      </w:r>
      <w:r w:rsidRPr="00BF75C1">
        <w:rPr>
          <w:rFonts w:cs="Arial"/>
        </w:rPr>
        <w:noBreakHyphen/>
        <w:t>wide strategic priorities ensuring a unified evidence-informed approach.  We provide strategic insight and lead the agency in upholding corporate, legislative, and social obligations, and support business areas to do the same through capability building and guidance. In addition to our internal partners, we work closely with key stakeholders, portfolio statutory authorities and across government to deliver shared outcomes. </w:t>
      </w:r>
    </w:p>
    <w:p w14:paraId="162401DC" w14:textId="77777777" w:rsidR="00721D8B" w:rsidRPr="00BF75C1" w:rsidRDefault="00721D8B" w:rsidP="00721D8B">
      <w:pPr>
        <w:spacing w:before="0" w:after="0"/>
        <w:rPr>
          <w:rFonts w:cs="Arial"/>
        </w:rPr>
      </w:pPr>
    </w:p>
    <w:p w14:paraId="7768778F" w14:textId="1F9EF440" w:rsidR="001A0F28" w:rsidRPr="00407476" w:rsidRDefault="00331FE0" w:rsidP="00721D8B">
      <w:pPr>
        <w:pStyle w:val="Heading2"/>
        <w:pBdr>
          <w:bottom w:val="single" w:sz="4" w:space="0" w:color="auto"/>
        </w:pBdr>
      </w:pPr>
      <w:r w:rsidRPr="00407476">
        <w:t>Responsibilities</w:t>
      </w:r>
      <w:r w:rsidR="003854A7" w:rsidRPr="00407476">
        <w:t xml:space="preserve"> </w:t>
      </w:r>
    </w:p>
    <w:p w14:paraId="18352E98" w14:textId="77777777" w:rsidR="003E7884" w:rsidRDefault="003E7884" w:rsidP="00CB1946">
      <w:pPr>
        <w:pStyle w:val="ListParagraph"/>
        <w:ind w:left="993"/>
      </w:pPr>
      <w:r>
        <w:t>Contributes to identifying, developing, and implementing policies and legislative reforms to achieve the Department’s strategic priorities.</w:t>
      </w:r>
    </w:p>
    <w:p w14:paraId="4B492A1A" w14:textId="77777777" w:rsidR="003E7884" w:rsidRDefault="003E7884" w:rsidP="00CB1946">
      <w:pPr>
        <w:pStyle w:val="ListParagraph"/>
        <w:ind w:left="993"/>
      </w:pPr>
      <w:r>
        <w:t xml:space="preserve">Undertakes policy and legislative research and analysis as required. </w:t>
      </w:r>
    </w:p>
    <w:p w14:paraId="5520AD3B" w14:textId="77777777" w:rsidR="003E7884" w:rsidRPr="003777F2" w:rsidRDefault="003E7884" w:rsidP="00CB1946">
      <w:pPr>
        <w:pStyle w:val="ListParagraph"/>
        <w:ind w:left="993"/>
      </w:pPr>
      <w:r w:rsidRPr="003777F2">
        <w:t>Consults and liaises with State Government agencies, non-government organisations, industry and sector stakeholders and internal stakeholders in relation to the Department’s strategic priorities.</w:t>
      </w:r>
    </w:p>
    <w:p w14:paraId="61A2A58B" w14:textId="77777777" w:rsidR="003E7884" w:rsidRPr="003777F2" w:rsidRDefault="003E7884" w:rsidP="00CB1946">
      <w:pPr>
        <w:pStyle w:val="ListParagraph"/>
        <w:ind w:left="993"/>
      </w:pPr>
      <w:r w:rsidRPr="003777F2">
        <w:t>Develops, prepares, and presents forums, seminars, and workshops to sector stakeholders, industry, government, community groups and other special interest groups.</w:t>
      </w:r>
    </w:p>
    <w:p w14:paraId="37B5C207" w14:textId="77777777" w:rsidR="003E7884" w:rsidRPr="003777F2" w:rsidRDefault="003E7884" w:rsidP="00CB1946">
      <w:pPr>
        <w:pStyle w:val="ListParagraph"/>
        <w:ind w:left="993"/>
      </w:pPr>
      <w:r w:rsidRPr="003777F2">
        <w:t xml:space="preserve">Represents the Department at interagency forums, workshops and working groups. </w:t>
      </w:r>
    </w:p>
    <w:p w14:paraId="52E15C09" w14:textId="77777777" w:rsidR="003E7884" w:rsidRPr="003777F2" w:rsidRDefault="003E7884" w:rsidP="00CB1946">
      <w:pPr>
        <w:pStyle w:val="ListParagraph"/>
        <w:ind w:left="993"/>
      </w:pPr>
      <w:r>
        <w:t>E</w:t>
      </w:r>
      <w:r w:rsidRPr="005876C6">
        <w:t>stablish</w:t>
      </w:r>
      <w:r>
        <w:t>es</w:t>
      </w:r>
      <w:r w:rsidRPr="005876C6">
        <w:t xml:space="preserve"> and maintain</w:t>
      </w:r>
      <w:r>
        <w:t>s</w:t>
      </w:r>
      <w:r w:rsidRPr="005876C6">
        <w:t xml:space="preserve"> working relationships with a range of internal and external stakeholders</w:t>
      </w:r>
      <w:r>
        <w:t>.</w:t>
      </w:r>
    </w:p>
    <w:p w14:paraId="2A94A8C7" w14:textId="77777777" w:rsidR="003E7884" w:rsidRDefault="003E7884" w:rsidP="00CB1946">
      <w:pPr>
        <w:pStyle w:val="ListParagraph"/>
        <w:ind w:left="993"/>
      </w:pPr>
      <w:r w:rsidRPr="003777F2">
        <w:t>Develops, prepares, and delivers various stakeholder information and communications and coordinates stakeholder engagement and consultation as required.</w:t>
      </w:r>
    </w:p>
    <w:p w14:paraId="64EAA14D" w14:textId="5613B4C2" w:rsidR="003E7884" w:rsidRDefault="003E7884" w:rsidP="00CB1946">
      <w:pPr>
        <w:pStyle w:val="ListParagraph"/>
        <w:ind w:left="993"/>
      </w:pPr>
      <w:r>
        <w:lastRenderedPageBreak/>
        <w:t>Contributes to the development of project</w:t>
      </w:r>
      <w:r w:rsidR="007E0B7A">
        <w:t xml:space="preserve"> documentation </w:t>
      </w:r>
      <w:r>
        <w:t>and the implementation of projects and program initiatives.</w:t>
      </w:r>
    </w:p>
    <w:p w14:paraId="183AFF29" w14:textId="77777777" w:rsidR="003E7884" w:rsidRDefault="003E7884" w:rsidP="00CB1946">
      <w:pPr>
        <w:pStyle w:val="ListParagraph"/>
        <w:ind w:left="993"/>
      </w:pPr>
      <w:r>
        <w:t>Works across the Department and with other Government agencies to identify opportunities for the collaborative delivery of projects and program initiatives.</w:t>
      </w:r>
    </w:p>
    <w:p w14:paraId="2A5B88DC" w14:textId="08E7731C" w:rsidR="003E7884" w:rsidRDefault="003E7884" w:rsidP="00CB1946">
      <w:pPr>
        <w:pStyle w:val="ListParagraph"/>
        <w:ind w:left="993"/>
      </w:pPr>
      <w:r>
        <w:t xml:space="preserve">Contributes to the delivery of </w:t>
      </w:r>
      <w:r w:rsidR="007E0B7A">
        <w:t xml:space="preserve">projects and </w:t>
      </w:r>
      <w:r>
        <w:t>programs to achieve Government, sector, industry, and Departmental strategic outcomes.</w:t>
      </w:r>
    </w:p>
    <w:p w14:paraId="79F16052" w14:textId="51019CD8" w:rsidR="003E7884" w:rsidRPr="003777F2" w:rsidRDefault="003E7884" w:rsidP="00CB1946">
      <w:pPr>
        <w:pStyle w:val="ListParagraph"/>
        <w:ind w:left="993"/>
      </w:pPr>
      <w:r w:rsidRPr="003777F2">
        <w:t xml:space="preserve">Provides advice in response to requests from the Minister’s Office, key stakeholders, members of the public and the media on matters related to the </w:t>
      </w:r>
      <w:r w:rsidR="007E0B7A">
        <w:t>Department</w:t>
      </w:r>
      <w:r w:rsidRPr="003777F2">
        <w:t xml:space="preserve">. </w:t>
      </w:r>
    </w:p>
    <w:p w14:paraId="3C09335C" w14:textId="669B585D" w:rsidR="003E7884" w:rsidRDefault="003E7884" w:rsidP="00CB1946">
      <w:pPr>
        <w:pStyle w:val="ListParagraph"/>
        <w:ind w:left="993"/>
      </w:pPr>
      <w:r>
        <w:t>Coordinates the preparation of Departmental or Ministerial submissions, briefings or responses to Parliamentary, State or Commonwealth Government inquiries.</w:t>
      </w:r>
    </w:p>
    <w:p w14:paraId="0F410876" w14:textId="77777777" w:rsidR="003E7884" w:rsidRPr="003777F2" w:rsidRDefault="003E7884" w:rsidP="00CB1946">
      <w:pPr>
        <w:pStyle w:val="ListParagraph"/>
        <w:ind w:left="993"/>
      </w:pPr>
      <w:r>
        <w:t>Provides business and administrative support to the Child Safeguarding Implementation Unit in the development, implementation, delivery and review of Divisional priorities and outcomes.</w:t>
      </w:r>
    </w:p>
    <w:p w14:paraId="4CEE555B" w14:textId="77777777" w:rsidR="003E7884" w:rsidRPr="003777F2" w:rsidRDefault="003E7884" w:rsidP="00CB1946">
      <w:pPr>
        <w:pStyle w:val="ListParagraph"/>
        <w:ind w:left="993"/>
      </w:pPr>
      <w:r w:rsidRPr="003777F2">
        <w:t>Reads and accesses confidential and sensitive information relating to individuals named in applications to the National Redress Scheme.</w:t>
      </w:r>
    </w:p>
    <w:p w14:paraId="6E4D70A1" w14:textId="694EAF45" w:rsidR="003E7884" w:rsidRDefault="003E7884" w:rsidP="00CB1946">
      <w:pPr>
        <w:pStyle w:val="ListParagraph"/>
        <w:ind w:left="993"/>
      </w:pPr>
      <w:r w:rsidRPr="00E32F00">
        <w:t xml:space="preserve">Perform any other duties as assigned or necessary to support the objectives of </w:t>
      </w:r>
      <w:r w:rsidR="009B15F5">
        <w:t>CITS</w:t>
      </w:r>
      <w:r w:rsidRPr="00E32F00">
        <w:t>.</w:t>
      </w:r>
    </w:p>
    <w:p w14:paraId="5F2F0EB2" w14:textId="0C338AA8" w:rsidR="00F26433" w:rsidRPr="00E32F00" w:rsidRDefault="00F26433" w:rsidP="00E03354">
      <w:pPr>
        <w:pStyle w:val="ListParagraph"/>
        <w:ind w:left="993"/>
      </w:pPr>
      <w:r w:rsidRPr="00E32F00">
        <w:t xml:space="preserve">Adheres to Occupational Safety and Health, Equal Opportunity and other legislative requirements in accordance with the parameters of the position. </w:t>
      </w:r>
    </w:p>
    <w:p w14:paraId="2B53B156" w14:textId="095AF86C"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1601DA8B" w14:textId="55FBF72C" w:rsidR="00403769" w:rsidRDefault="00616C23" w:rsidP="003E3AC2">
      <w:pPr>
        <w:pStyle w:val="ListParagraph"/>
        <w:ind w:left="993"/>
      </w:pPr>
      <w:r w:rsidRPr="00E32F00">
        <w:t xml:space="preserve">Perform any other duties as assigned or necessary to support the </w:t>
      </w:r>
      <w:r w:rsidR="00CD66C3" w:rsidRPr="00E32F00">
        <w:t xml:space="preserve">objectives of </w:t>
      </w:r>
      <w:r w:rsidR="002D4FF9">
        <w:t>CITS</w:t>
      </w:r>
      <w:r w:rsidR="002011B6" w:rsidRPr="00E32F00">
        <w:t>.</w:t>
      </w:r>
      <w:r w:rsidR="00C45709" w:rsidRPr="00E32F00">
        <w:t xml:space="preserve"> </w:t>
      </w:r>
    </w:p>
    <w:p w14:paraId="7A0E3219" w14:textId="77777777" w:rsidR="00721D8B" w:rsidRDefault="00721D8B" w:rsidP="00721D8B">
      <w:pPr>
        <w:pStyle w:val="Heading2"/>
        <w:spacing w:before="0"/>
      </w:pPr>
    </w:p>
    <w:p w14:paraId="1EBBA8C4" w14:textId="3048F5E5"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Default="00594F55" w:rsidP="00B71D04">
      <w:pPr>
        <w:pStyle w:val="Heading2"/>
        <w:pBdr>
          <w:bottom w:val="none" w:sz="0" w:space="0" w:color="auto"/>
        </w:pBdr>
        <w:rPr>
          <w:sz w:val="24"/>
          <w:szCs w:val="56"/>
        </w:rPr>
      </w:pPr>
      <w:r w:rsidRPr="00B71D04">
        <w:rPr>
          <w:sz w:val="24"/>
          <w:szCs w:val="56"/>
        </w:rPr>
        <w:t>Essential</w:t>
      </w:r>
    </w:p>
    <w:p w14:paraId="1DC14042" w14:textId="77777777" w:rsidR="00D30862" w:rsidRPr="00D30862" w:rsidRDefault="00D30862" w:rsidP="00FA0CD2">
      <w:pPr>
        <w:pStyle w:val="ListParagraph"/>
        <w:numPr>
          <w:ilvl w:val="0"/>
          <w:numId w:val="43"/>
        </w:numPr>
      </w:pPr>
      <w:r w:rsidRPr="00D30862">
        <w:t>Ability to contribute to the development, review and delivery of key projects in line with policy initiatives and organisational goals.</w:t>
      </w:r>
    </w:p>
    <w:p w14:paraId="19CAE278" w14:textId="77777777" w:rsidR="00D30862" w:rsidRPr="00D30862" w:rsidRDefault="00D30862" w:rsidP="00FA0CD2">
      <w:pPr>
        <w:pStyle w:val="ListParagraph"/>
        <w:numPr>
          <w:ilvl w:val="0"/>
          <w:numId w:val="43"/>
        </w:numPr>
      </w:pPr>
      <w:r w:rsidRPr="00D30862">
        <w:t>Ability to work within policy and legislative frameworks to develop innovative solutions to sensitive and contentious issues.</w:t>
      </w:r>
    </w:p>
    <w:p w14:paraId="175EDBCE" w14:textId="77777777" w:rsidR="00D30862" w:rsidRPr="00D30862" w:rsidRDefault="00D30862" w:rsidP="00FA0CD2">
      <w:pPr>
        <w:pStyle w:val="ListParagraph"/>
        <w:numPr>
          <w:ilvl w:val="0"/>
          <w:numId w:val="43"/>
        </w:numPr>
      </w:pPr>
      <w:r w:rsidRPr="00D30862">
        <w:t>Demonstrated organisational and prioritisation skills with the ability to meet key outcomes within stated timeframes.</w:t>
      </w:r>
    </w:p>
    <w:p w14:paraId="2D2328E2" w14:textId="77777777" w:rsidR="00D30862" w:rsidRPr="00D30862" w:rsidRDefault="00D30862" w:rsidP="00FA0CD2">
      <w:pPr>
        <w:pStyle w:val="ListParagraph"/>
        <w:numPr>
          <w:ilvl w:val="0"/>
          <w:numId w:val="43"/>
        </w:numPr>
      </w:pPr>
      <w:r w:rsidRPr="00D30862">
        <w:t>Ability to develop and maintain productive relationships, including liaising and consulting with a variety of internal and external stakeholders.</w:t>
      </w:r>
    </w:p>
    <w:p w14:paraId="38E41EAC" w14:textId="77777777" w:rsidR="00D30862" w:rsidRPr="00D30862" w:rsidRDefault="00D30862" w:rsidP="00FA0CD2">
      <w:pPr>
        <w:pStyle w:val="ListParagraph"/>
        <w:numPr>
          <w:ilvl w:val="0"/>
          <w:numId w:val="43"/>
        </w:numPr>
      </w:pPr>
      <w:r w:rsidRPr="00D30862">
        <w:t>Ability to maintain confidentiality in handling sensitive information.</w:t>
      </w:r>
    </w:p>
    <w:p w14:paraId="22798BA5" w14:textId="77777777" w:rsidR="00D30862" w:rsidRPr="00D30862" w:rsidRDefault="00D30862" w:rsidP="00FA0CD2">
      <w:pPr>
        <w:pStyle w:val="ListParagraph"/>
        <w:numPr>
          <w:ilvl w:val="0"/>
          <w:numId w:val="43"/>
        </w:numPr>
      </w:pPr>
      <w:r w:rsidRPr="00D30862">
        <w:t>Well-developed communication skills, including the ability to adapt messages to suit an intended audience.</w:t>
      </w:r>
    </w:p>
    <w:p w14:paraId="6EC254F6" w14:textId="50D815C3" w:rsidR="00B71D04" w:rsidRPr="00E32F00" w:rsidRDefault="00B71D04" w:rsidP="006D792D">
      <w:pPr>
        <w:pStyle w:val="ListParagraph"/>
        <w:numPr>
          <w:ilvl w:val="0"/>
          <w:numId w:val="0"/>
        </w:numPr>
        <w:ind w:left="1004"/>
      </w:pP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487A20B6" w14:textId="77777777" w:rsidR="00047C3D" w:rsidRPr="00E22DC6" w:rsidRDefault="00047C3D" w:rsidP="00FA0CD2">
      <w:pPr>
        <w:pStyle w:val="ListParagraph"/>
        <w:numPr>
          <w:ilvl w:val="0"/>
          <w:numId w:val="45"/>
        </w:numPr>
      </w:pPr>
      <w:r w:rsidRPr="00FA0CD2">
        <w:t>Knowledge of sector and industry relevant to the role.</w:t>
      </w:r>
    </w:p>
    <w:p w14:paraId="035CB2FA" w14:textId="5273548E" w:rsidR="009A3C66" w:rsidRDefault="009A3C66" w:rsidP="0069314A">
      <w:pPr>
        <w:pStyle w:val="Heading2"/>
        <w:pBdr>
          <w:bottom w:val="none" w:sz="0" w:space="0" w:color="auto"/>
        </w:pBdr>
      </w:pPr>
    </w:p>
    <w:p w14:paraId="72BD4ADF" w14:textId="77777777" w:rsidR="00FA0CD2" w:rsidRDefault="00FA0CD2" w:rsidP="00FA0CD2"/>
    <w:p w14:paraId="6B8DC34B" w14:textId="77777777" w:rsidR="00FA0CD2" w:rsidRDefault="00FA0CD2" w:rsidP="00FA0CD2"/>
    <w:p w14:paraId="22484815" w14:textId="77777777" w:rsidR="00FA0CD2" w:rsidRPr="00FA0CD2" w:rsidRDefault="00FA0CD2" w:rsidP="00FA0CD2"/>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7D9317EE"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047C3D">
            <w:rPr>
              <w:b/>
              <w:bCs/>
              <w:color w:val="0557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48651E8A" w14:textId="344AA4D2" w:rsidR="00EC7CCD" w:rsidRDefault="00280DC3" w:rsidP="00EC7CCD">
      <w:pPr>
        <w:pStyle w:val="ListParagraph"/>
        <w:numPr>
          <w:ilvl w:val="0"/>
          <w:numId w:val="30"/>
        </w:numPr>
        <w:rPr>
          <w:color w:val="2D2E2F"/>
        </w:rPr>
      </w:pPr>
      <w:r>
        <w:t xml:space="preserve">Working with Children Check </w:t>
      </w:r>
    </w:p>
    <w:p w14:paraId="360F9BDE" w14:textId="7A61D19B" w:rsidR="00280DC3" w:rsidRDefault="00280DC3" w:rsidP="00920241">
      <w:pPr>
        <w:pStyle w:val="ListParagraph"/>
        <w:numPr>
          <w:ilvl w:val="0"/>
          <w:numId w:val="0"/>
        </w:numPr>
        <w:ind w:left="1004"/>
      </w:pP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62480BEB" w:rsidR="00690A87" w:rsidRPr="001D63A8" w:rsidRDefault="00721D8B" w:rsidP="004D6E98">
            <w:r>
              <w:t>25 March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C9E3" w14:textId="77777777" w:rsidR="00AC21CB" w:rsidRDefault="00AC21CB" w:rsidP="004F034E">
      <w:r>
        <w:separator/>
      </w:r>
    </w:p>
    <w:p w14:paraId="61D2C22F" w14:textId="77777777" w:rsidR="00AC21CB" w:rsidRDefault="00AC21CB" w:rsidP="004F034E"/>
  </w:endnote>
  <w:endnote w:type="continuationSeparator" w:id="0">
    <w:p w14:paraId="0DD8C772" w14:textId="77777777" w:rsidR="00AC21CB" w:rsidRDefault="00AC21CB" w:rsidP="004F034E">
      <w:r>
        <w:continuationSeparator/>
      </w:r>
    </w:p>
    <w:p w14:paraId="50682293" w14:textId="77777777" w:rsidR="00AC21CB" w:rsidRDefault="00AC21CB" w:rsidP="004F034E"/>
  </w:endnote>
  <w:endnote w:type="continuationNotice" w:id="1">
    <w:p w14:paraId="07409177" w14:textId="77777777" w:rsidR="00AC21CB" w:rsidRDefault="00AC21CB"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EEE27"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48B4" w14:textId="77777777" w:rsidR="00AC21CB" w:rsidRDefault="00AC21CB" w:rsidP="004F034E">
      <w:r>
        <w:separator/>
      </w:r>
    </w:p>
    <w:p w14:paraId="26A8FA8F" w14:textId="77777777" w:rsidR="00AC21CB" w:rsidRDefault="00AC21CB" w:rsidP="004F034E"/>
  </w:footnote>
  <w:footnote w:type="continuationSeparator" w:id="0">
    <w:p w14:paraId="2987A42F" w14:textId="77777777" w:rsidR="00AC21CB" w:rsidRDefault="00AC21CB" w:rsidP="004F034E">
      <w:r>
        <w:continuationSeparator/>
      </w:r>
    </w:p>
    <w:p w14:paraId="53B269ED" w14:textId="77777777" w:rsidR="00AC21CB" w:rsidRDefault="00AC21CB" w:rsidP="004F034E"/>
  </w:footnote>
  <w:footnote w:type="continuationNotice" w:id="1">
    <w:p w14:paraId="71CD8477" w14:textId="77777777" w:rsidR="00AC21CB" w:rsidRDefault="00AC21CB"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A1452"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878A6"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F6433"/>
    <w:multiLevelType w:val="hybridMultilevel"/>
    <w:tmpl w:val="94EE07DE"/>
    <w:lvl w:ilvl="0" w:tplc="4E52F108">
      <w:start w:val="1"/>
      <w:numFmt w:val="decimal"/>
      <w:lvlText w:val="%1."/>
      <w:lvlJc w:val="left"/>
      <w:pPr>
        <w:ind w:left="1004" w:hanging="360"/>
      </w:pPr>
      <w:rPr>
        <w:b w:val="0"/>
        <w:bCs/>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8CB6195"/>
    <w:multiLevelType w:val="hybridMultilevel"/>
    <w:tmpl w:val="20EEB4C0"/>
    <w:lvl w:ilvl="0" w:tplc="0C09000F">
      <w:start w:val="1"/>
      <w:numFmt w:val="decimal"/>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0"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6"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7"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8"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632A07CA"/>
    <w:multiLevelType w:val="hybridMultilevel"/>
    <w:tmpl w:val="17E6181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94411FF"/>
    <w:multiLevelType w:val="hybridMultilevel"/>
    <w:tmpl w:val="2CBA3462"/>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32"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4"/>
  </w:num>
  <w:num w:numId="2" w16cid:durableId="726149911">
    <w:abstractNumId w:val="26"/>
  </w:num>
  <w:num w:numId="3" w16cid:durableId="334038920">
    <w:abstractNumId w:val="15"/>
  </w:num>
  <w:num w:numId="4" w16cid:durableId="910433445">
    <w:abstractNumId w:val="27"/>
  </w:num>
  <w:num w:numId="5" w16cid:durableId="976297257">
    <w:abstractNumId w:val="18"/>
  </w:num>
  <w:num w:numId="6" w16cid:durableId="328018657">
    <w:abstractNumId w:val="35"/>
  </w:num>
  <w:num w:numId="7" w16cid:durableId="2076658215">
    <w:abstractNumId w:val="7"/>
  </w:num>
  <w:num w:numId="8" w16cid:durableId="1591620421">
    <w:abstractNumId w:val="16"/>
  </w:num>
  <w:num w:numId="9" w16cid:durableId="17006256">
    <w:abstractNumId w:val="25"/>
  </w:num>
  <w:num w:numId="10" w16cid:durableId="1903563376">
    <w:abstractNumId w:val="21"/>
  </w:num>
  <w:num w:numId="11" w16cid:durableId="140969372">
    <w:abstractNumId w:val="11"/>
  </w:num>
  <w:num w:numId="12" w16cid:durableId="2032602438">
    <w:abstractNumId w:val="10"/>
  </w:num>
  <w:num w:numId="13" w16cid:durableId="88745793">
    <w:abstractNumId w:val="6"/>
  </w:num>
  <w:num w:numId="14" w16cid:durableId="492769001">
    <w:abstractNumId w:val="12"/>
  </w:num>
  <w:num w:numId="15" w16cid:durableId="2145541274">
    <w:abstractNumId w:val="20"/>
  </w:num>
  <w:num w:numId="16" w16cid:durableId="411853694">
    <w:abstractNumId w:val="34"/>
  </w:num>
  <w:num w:numId="17" w16cid:durableId="568659907">
    <w:abstractNumId w:val="14"/>
  </w:num>
  <w:num w:numId="18" w16cid:durableId="1892839358">
    <w:abstractNumId w:val="3"/>
  </w:num>
  <w:num w:numId="19" w16cid:durableId="1563440370">
    <w:abstractNumId w:val="32"/>
  </w:num>
  <w:num w:numId="20" w16cid:durableId="1893881933">
    <w:abstractNumId w:val="5"/>
  </w:num>
  <w:num w:numId="21" w16cid:durableId="567425944">
    <w:abstractNumId w:val="1"/>
  </w:num>
  <w:num w:numId="22" w16cid:durableId="36395154">
    <w:abstractNumId w:val="0"/>
  </w:num>
  <w:num w:numId="23" w16cid:durableId="933635896">
    <w:abstractNumId w:val="13"/>
  </w:num>
  <w:num w:numId="24" w16cid:durableId="393236011">
    <w:abstractNumId w:val="23"/>
  </w:num>
  <w:num w:numId="25" w16cid:durableId="160050575">
    <w:abstractNumId w:val="17"/>
  </w:num>
  <w:num w:numId="26" w16cid:durableId="144201119">
    <w:abstractNumId w:val="19"/>
  </w:num>
  <w:num w:numId="27" w16cid:durableId="870416179">
    <w:abstractNumId w:val="8"/>
  </w:num>
  <w:num w:numId="28" w16cid:durableId="899830477">
    <w:abstractNumId w:val="24"/>
  </w:num>
  <w:num w:numId="29" w16cid:durableId="246886528">
    <w:abstractNumId w:val="29"/>
  </w:num>
  <w:num w:numId="30" w16cid:durableId="1147238472">
    <w:abstractNumId w:val="22"/>
  </w:num>
  <w:num w:numId="31" w16cid:durableId="1434015982">
    <w:abstractNumId w:val="28"/>
  </w:num>
  <w:num w:numId="32" w16cid:durableId="121847958">
    <w:abstractNumId w:val="33"/>
  </w:num>
  <w:num w:numId="33" w16cid:durableId="974487416">
    <w:abstractNumId w:val="30"/>
  </w:num>
  <w:num w:numId="34" w16cid:durableId="2099323788">
    <w:abstractNumId w:val="31"/>
  </w:num>
  <w:num w:numId="35" w16cid:durableId="1997025342">
    <w:abstractNumId w:val="2"/>
  </w:num>
  <w:num w:numId="36" w16cid:durableId="353920072">
    <w:abstractNumId w:val="31"/>
  </w:num>
  <w:num w:numId="37" w16cid:durableId="1296108508">
    <w:abstractNumId w:val="8"/>
  </w:num>
  <w:num w:numId="38" w16cid:durableId="188494581">
    <w:abstractNumId w:val="8"/>
  </w:num>
  <w:num w:numId="39" w16cid:durableId="1786386450">
    <w:abstractNumId w:val="9"/>
  </w:num>
  <w:num w:numId="40" w16cid:durableId="479158471">
    <w:abstractNumId w:val="8"/>
  </w:num>
  <w:num w:numId="41" w16cid:durableId="318267774">
    <w:abstractNumId w:val="8"/>
    <w:lvlOverride w:ilvl="0">
      <w:startOverride w:val="1"/>
    </w:lvlOverride>
  </w:num>
  <w:num w:numId="42" w16cid:durableId="1309169681">
    <w:abstractNumId w:val="8"/>
  </w:num>
  <w:num w:numId="43" w16cid:durableId="2142578601">
    <w:abstractNumId w:val="8"/>
    <w:lvlOverride w:ilvl="0">
      <w:startOverride w:val="1"/>
    </w:lvlOverride>
  </w:num>
  <w:num w:numId="44" w16cid:durableId="362562199">
    <w:abstractNumId w:val="8"/>
  </w:num>
  <w:num w:numId="45" w16cid:durableId="1876850806">
    <w:abstractNumId w:val="8"/>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642E"/>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47C3D"/>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0F562E"/>
    <w:rsid w:val="0010588E"/>
    <w:rsid w:val="00106DB7"/>
    <w:rsid w:val="00110B2F"/>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62F9B"/>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0A04"/>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4FF9"/>
    <w:rsid w:val="002D712A"/>
    <w:rsid w:val="002D7DD3"/>
    <w:rsid w:val="002E07F4"/>
    <w:rsid w:val="002E0B45"/>
    <w:rsid w:val="002E4CEE"/>
    <w:rsid w:val="002E4E74"/>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2406"/>
    <w:rsid w:val="00363ECA"/>
    <w:rsid w:val="00365B13"/>
    <w:rsid w:val="003673CF"/>
    <w:rsid w:val="00371BBF"/>
    <w:rsid w:val="00372B91"/>
    <w:rsid w:val="00373905"/>
    <w:rsid w:val="003854A7"/>
    <w:rsid w:val="003858FA"/>
    <w:rsid w:val="003862EC"/>
    <w:rsid w:val="003862FE"/>
    <w:rsid w:val="003910DE"/>
    <w:rsid w:val="0039307F"/>
    <w:rsid w:val="003931D2"/>
    <w:rsid w:val="003956F2"/>
    <w:rsid w:val="00395BC7"/>
    <w:rsid w:val="003A47CF"/>
    <w:rsid w:val="003A6121"/>
    <w:rsid w:val="003A6D65"/>
    <w:rsid w:val="003B2373"/>
    <w:rsid w:val="003B5792"/>
    <w:rsid w:val="003C0EA1"/>
    <w:rsid w:val="003C1844"/>
    <w:rsid w:val="003C1EF2"/>
    <w:rsid w:val="003C24D9"/>
    <w:rsid w:val="003C267F"/>
    <w:rsid w:val="003C2EAC"/>
    <w:rsid w:val="003C37C1"/>
    <w:rsid w:val="003C52CB"/>
    <w:rsid w:val="003D05FB"/>
    <w:rsid w:val="003D0B07"/>
    <w:rsid w:val="003D4649"/>
    <w:rsid w:val="003D56C4"/>
    <w:rsid w:val="003D5B98"/>
    <w:rsid w:val="003D6E95"/>
    <w:rsid w:val="003D6FB9"/>
    <w:rsid w:val="003E0B55"/>
    <w:rsid w:val="003E1A5F"/>
    <w:rsid w:val="003E7742"/>
    <w:rsid w:val="003E7884"/>
    <w:rsid w:val="003E797B"/>
    <w:rsid w:val="003F07BF"/>
    <w:rsid w:val="003F24AD"/>
    <w:rsid w:val="003F2B3E"/>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26EE"/>
    <w:rsid w:val="00443117"/>
    <w:rsid w:val="004432A1"/>
    <w:rsid w:val="004451C2"/>
    <w:rsid w:val="00446BA8"/>
    <w:rsid w:val="00450DF3"/>
    <w:rsid w:val="004512FD"/>
    <w:rsid w:val="00452131"/>
    <w:rsid w:val="00454EF4"/>
    <w:rsid w:val="00455620"/>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C6F"/>
    <w:rsid w:val="004B63D4"/>
    <w:rsid w:val="004C061E"/>
    <w:rsid w:val="004C1992"/>
    <w:rsid w:val="004C26E1"/>
    <w:rsid w:val="004D6BA2"/>
    <w:rsid w:val="004E101A"/>
    <w:rsid w:val="004E2350"/>
    <w:rsid w:val="004E4F30"/>
    <w:rsid w:val="004E70AD"/>
    <w:rsid w:val="004E7F68"/>
    <w:rsid w:val="004F034E"/>
    <w:rsid w:val="004F1813"/>
    <w:rsid w:val="004F5E57"/>
    <w:rsid w:val="004F6E94"/>
    <w:rsid w:val="00501571"/>
    <w:rsid w:val="00504DF1"/>
    <w:rsid w:val="00505977"/>
    <w:rsid w:val="005067D1"/>
    <w:rsid w:val="00507EB6"/>
    <w:rsid w:val="00511CF3"/>
    <w:rsid w:val="00512764"/>
    <w:rsid w:val="005149A1"/>
    <w:rsid w:val="0051547F"/>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3E40"/>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3E0"/>
    <w:rsid w:val="005C2667"/>
    <w:rsid w:val="005C282E"/>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1072"/>
    <w:rsid w:val="005F141E"/>
    <w:rsid w:val="005F1F7D"/>
    <w:rsid w:val="005F64A6"/>
    <w:rsid w:val="005F7D59"/>
    <w:rsid w:val="00600B88"/>
    <w:rsid w:val="00602883"/>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9753C"/>
    <w:rsid w:val="006A24E1"/>
    <w:rsid w:val="006B0553"/>
    <w:rsid w:val="006B1886"/>
    <w:rsid w:val="006B2509"/>
    <w:rsid w:val="006B2510"/>
    <w:rsid w:val="006B55B9"/>
    <w:rsid w:val="006B6BDC"/>
    <w:rsid w:val="006B721D"/>
    <w:rsid w:val="006C0A5B"/>
    <w:rsid w:val="006C1716"/>
    <w:rsid w:val="006C19E4"/>
    <w:rsid w:val="006C4F63"/>
    <w:rsid w:val="006C74FC"/>
    <w:rsid w:val="006D013E"/>
    <w:rsid w:val="006D1B3E"/>
    <w:rsid w:val="006D2737"/>
    <w:rsid w:val="006D2AD9"/>
    <w:rsid w:val="006D4E00"/>
    <w:rsid w:val="006D792D"/>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9AB"/>
    <w:rsid w:val="00720A6D"/>
    <w:rsid w:val="00721D8B"/>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07DB"/>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0B7A"/>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2D8A"/>
    <w:rsid w:val="008F3092"/>
    <w:rsid w:val="008F46AD"/>
    <w:rsid w:val="008F50E7"/>
    <w:rsid w:val="00901D88"/>
    <w:rsid w:val="009042CE"/>
    <w:rsid w:val="00906A44"/>
    <w:rsid w:val="009108BB"/>
    <w:rsid w:val="0091179D"/>
    <w:rsid w:val="00911BB8"/>
    <w:rsid w:val="00913DD0"/>
    <w:rsid w:val="00920241"/>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15F5"/>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F6D72"/>
    <w:rsid w:val="009F73F6"/>
    <w:rsid w:val="00A017C3"/>
    <w:rsid w:val="00A10159"/>
    <w:rsid w:val="00A14E15"/>
    <w:rsid w:val="00A16505"/>
    <w:rsid w:val="00A216B3"/>
    <w:rsid w:val="00A2218F"/>
    <w:rsid w:val="00A22568"/>
    <w:rsid w:val="00A22A94"/>
    <w:rsid w:val="00A23605"/>
    <w:rsid w:val="00A248DF"/>
    <w:rsid w:val="00A254D2"/>
    <w:rsid w:val="00A33BE5"/>
    <w:rsid w:val="00A350DB"/>
    <w:rsid w:val="00A405FB"/>
    <w:rsid w:val="00A41703"/>
    <w:rsid w:val="00A42DA3"/>
    <w:rsid w:val="00A44CDC"/>
    <w:rsid w:val="00A467C3"/>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1CB"/>
    <w:rsid w:val="00AC29F8"/>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2642F"/>
    <w:rsid w:val="00B26D6D"/>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0530"/>
    <w:rsid w:val="00B65B87"/>
    <w:rsid w:val="00B67114"/>
    <w:rsid w:val="00B67B7E"/>
    <w:rsid w:val="00B70B4C"/>
    <w:rsid w:val="00B71940"/>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5EB0"/>
    <w:rsid w:val="00BB63E7"/>
    <w:rsid w:val="00BB786D"/>
    <w:rsid w:val="00BC09EE"/>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5C1"/>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3B04"/>
    <w:rsid w:val="00C85B20"/>
    <w:rsid w:val="00C8667B"/>
    <w:rsid w:val="00C878B7"/>
    <w:rsid w:val="00C93A47"/>
    <w:rsid w:val="00C965EF"/>
    <w:rsid w:val="00CA0C2C"/>
    <w:rsid w:val="00CA1A5D"/>
    <w:rsid w:val="00CA366F"/>
    <w:rsid w:val="00CA7156"/>
    <w:rsid w:val="00CB194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5B68"/>
    <w:rsid w:val="00CE6E6C"/>
    <w:rsid w:val="00CE7A96"/>
    <w:rsid w:val="00CF030D"/>
    <w:rsid w:val="00CF0F63"/>
    <w:rsid w:val="00CF2F2E"/>
    <w:rsid w:val="00CF2FD2"/>
    <w:rsid w:val="00CF4206"/>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0862"/>
    <w:rsid w:val="00D31239"/>
    <w:rsid w:val="00D31F19"/>
    <w:rsid w:val="00D35707"/>
    <w:rsid w:val="00D36F37"/>
    <w:rsid w:val="00D42E09"/>
    <w:rsid w:val="00D44026"/>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5C6D"/>
    <w:rsid w:val="00D76A20"/>
    <w:rsid w:val="00D77179"/>
    <w:rsid w:val="00D8501D"/>
    <w:rsid w:val="00D85A0A"/>
    <w:rsid w:val="00D85E40"/>
    <w:rsid w:val="00D86294"/>
    <w:rsid w:val="00D90B12"/>
    <w:rsid w:val="00D90E98"/>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20"/>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0CD2"/>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0642E"/>
    <w:rsid w:val="00091FD7"/>
    <w:rsid w:val="000F562E"/>
    <w:rsid w:val="00306CBD"/>
    <w:rsid w:val="00351A50"/>
    <w:rsid w:val="003549A0"/>
    <w:rsid w:val="0036208C"/>
    <w:rsid w:val="00454EF4"/>
    <w:rsid w:val="004C1C93"/>
    <w:rsid w:val="0051547F"/>
    <w:rsid w:val="005726BF"/>
    <w:rsid w:val="005C62F9"/>
    <w:rsid w:val="005F141E"/>
    <w:rsid w:val="00602883"/>
    <w:rsid w:val="00607C9E"/>
    <w:rsid w:val="0069753C"/>
    <w:rsid w:val="00774C37"/>
    <w:rsid w:val="007B4AFA"/>
    <w:rsid w:val="008F2D8A"/>
    <w:rsid w:val="009A0FBC"/>
    <w:rsid w:val="00A22608"/>
    <w:rsid w:val="00A822FC"/>
    <w:rsid w:val="00AD1590"/>
    <w:rsid w:val="00B53CCA"/>
    <w:rsid w:val="00B71940"/>
    <w:rsid w:val="00C83B04"/>
    <w:rsid w:val="00CA1A5D"/>
    <w:rsid w:val="00D370E7"/>
    <w:rsid w:val="00D90E98"/>
    <w:rsid w:val="00EA60A8"/>
    <w:rsid w:val="00ED6F0C"/>
    <w:rsid w:val="00F52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JDF" ma:contentTypeID="0x0101001606204C495BEE409239BDF79B32EEF1008B910282700A9746928549065B0E2427" ma:contentTypeVersion="22" ma:contentTypeDescription="" ma:contentTypeScope="" ma:versionID="6071edc0d89bd7499f10033140fdf7e6">
  <xsd:schema xmlns:xsd="http://www.w3.org/2001/XMLSchema" xmlns:xs="http://www.w3.org/2001/XMLSchema" xmlns:p="http://schemas.microsoft.com/office/2006/metadata/properties" xmlns:ns2="6ba7053f-e0f4-4d6d-b99b-1a84f6080beb" xmlns:ns3="b74ef3c4-9665-425c-bf53-6f3aa9902a65" targetNamespace="http://schemas.microsoft.com/office/2006/metadata/properties" ma:root="true" ma:fieldsID="4d35efa47e8887f34832407809c21c98" ns2:_="" ns3:_="">
    <xsd:import namespace="6ba7053f-e0f4-4d6d-b99b-1a84f6080beb"/>
    <xsd:import namespace="b74ef3c4-9665-425c-bf53-6f3aa9902a65"/>
    <xsd:element name="properties">
      <xsd:complexType>
        <xsd:sequence>
          <xsd:element name="documentManagement">
            <xsd:complexType>
              <xsd:all>
                <xsd:element ref="ns2:Classification_x0020_Level" minOccurs="0"/>
                <xsd:element ref="ns2:JDFEndDate" minOccurs="0"/>
                <xsd:element ref="ns2:Status_x0020_JDF" minOccurs="0"/>
                <xsd:element ref="ns2:Generic_x0020_JDF" minOccurs="0"/>
                <xsd:element ref="ns2:Start_x0020_Date_x0020_JDF" minOccurs="0"/>
                <xsd:element ref="ns2:Position_x0020_Number_x0020_JDF" minOccurs="0"/>
                <xsd:element ref="ns2:Manager_x0020_Position_x0020_Number_x0020_JDF" minOccurs="0"/>
                <xsd:element ref="ns2:Location_x0020_JDF" minOccurs="0"/>
                <xsd:element ref="ns2:Division_x0020_JDF" minOccurs="0"/>
                <xsd:element ref="ns2:Branch_x0020_JDF" minOccurs="0"/>
                <xsd:element ref="ns2:Award_x0020_JDF" minOccurs="0"/>
                <xsd:element ref="ns2:Position_x0020_JDF" minOccurs="0"/>
                <xsd:element ref="ns2:Manager_x0020_Position_x0020_JDF" minOccurs="0"/>
                <xsd:element ref="ns3:MediaServiceMetadata" minOccurs="0"/>
                <xsd:element ref="ns3:MediaServiceFastMetadata" minOccurs="0"/>
                <xsd:element ref="ns3:MediaServiceSearchProperties" minOccurs="0"/>
                <xsd:element ref="ns3:MediaServiceObjectDetectorVersions" minOccurs="0"/>
                <xsd:element ref="ns2:PositionNumbersJ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7053f-e0f4-4d6d-b99b-1a84f6080beb" elementFormDefault="qualified">
    <xsd:import namespace="http://schemas.microsoft.com/office/2006/documentManagement/types"/>
    <xsd:import namespace="http://schemas.microsoft.com/office/infopath/2007/PartnerControls"/>
    <xsd:element name="Classification_x0020_Level" ma:index="8" nillable="true" ma:displayName="Classification Level" ma:default="" ma:description="Classification Level for jdf" ma:format="Dropdown" ma:internalName="Classification_x0020_Level">
      <xsd:simpleType>
        <xsd:restriction base="dms:Choice">
          <xsd:enumeration value="Class 1"/>
          <xsd:enumeration value="Class 2"/>
          <xsd:enumeration value="Level 1"/>
          <xsd:enumeration value="Level 2"/>
          <xsd:enumeration value="Level 3"/>
          <xsd:enumeration value="Level 4"/>
          <xsd:enumeration value="Level 5"/>
          <xsd:enumeration value="Level 6"/>
          <xsd:enumeration value="Level 7"/>
          <xsd:enumeration value="Level 8"/>
          <xsd:enumeration value="Level 9"/>
          <xsd:enumeration value="Special 3 (Group 2)"/>
          <xsd:enumeration value="Specified Calling Level 1"/>
          <xsd:enumeration value="Specified Calling Level 2"/>
          <xsd:enumeration value="Specified Calling Level 3"/>
          <xsd:enumeration value="Specified Calling Level 4"/>
          <xsd:enumeration value="Specified Calling Level 5"/>
          <xsd:enumeration value="Specified Calling Level 6"/>
          <xsd:enumeration value="Trainee - Skill Level B"/>
          <xsd:enumeration value="Wages"/>
        </xsd:restriction>
      </xsd:simpleType>
    </xsd:element>
    <xsd:element name="JDFEndDate" ma:index="9" nillable="true" ma:displayName="End Date JDF" ma:format="DateOnly" ma:internalName="JDFEndDate">
      <xsd:simpleType>
        <xsd:restriction base="dms:DateTime"/>
      </xsd:simpleType>
    </xsd:element>
    <xsd:element name="Status_x0020_JDF" ma:index="10" nillable="true" ma:displayName="Status JDF" ma:default="" ma:format="Dropdown" ma:internalName="Status_x0020_JDF">
      <xsd:simpleType>
        <xsd:restriction base="dms:Choice">
          <xsd:enumeration value="Active"/>
          <xsd:enumeration value="Inactive"/>
        </xsd:restriction>
      </xsd:simpleType>
    </xsd:element>
    <xsd:element name="Generic_x0020_JDF" ma:index="11" nillable="true" ma:displayName="Generic JDF" ma:default="0" ma:internalName="Generic_x0020_JDF">
      <xsd:simpleType>
        <xsd:restriction base="dms:Boolean"/>
      </xsd:simpleType>
    </xsd:element>
    <xsd:element name="Start_x0020_Date_x0020_JDF" ma:index="12" nillable="true" ma:displayName="Start Date JDF" ma:default="" ma:format="DateOnly" ma:internalName="Start_x0020_Date_x0020_JDF">
      <xsd:simpleType>
        <xsd:restriction base="dms:DateTime"/>
      </xsd:simpleType>
    </xsd:element>
    <xsd:element name="Position_x0020_Number_x0020_JDF" ma:index="13" nillable="true" ma:displayName="Position Number JDF" ma:default="" ma:internalName="Position_x0020_Number_x0020_JDF">
      <xsd:simpleType>
        <xsd:restriction base="dms:Text">
          <xsd:maxLength value="255"/>
        </xsd:restriction>
      </xsd:simpleType>
    </xsd:element>
    <xsd:element name="Manager_x0020_Position_x0020_Number_x0020_JDF" ma:index="14" nillable="true" ma:displayName="Manager Position Number JDF" ma:default="" ma:internalName="Manager_x0020_Position_x0020_Number_x0020_JDF">
      <xsd:simpleType>
        <xsd:restriction base="dms:Text">
          <xsd:maxLength value="255"/>
        </xsd:restriction>
      </xsd:simpleType>
    </xsd:element>
    <xsd:element name="Location_x0020_JDF" ma:index="15" nillable="true" ma:displayName="Locations" ma:format="Dropdown" ma:internalName="Location_x0020_JDF">
      <xsd:simpleType>
        <xsd:restriction base="dms:Choice">
          <xsd:enumeration value="140 William Street, Perth"/>
          <xsd:enumeration value="1 William Street, Perth"/>
          <xsd:enumeration value="226 Adelaide terrace, Perth"/>
          <xsd:enumeration value="Albany"/>
          <xsd:enumeration value="Bickley"/>
          <xsd:enumeration value="Bicton"/>
          <xsd:enumeration value="Broome"/>
          <xsd:enumeration value="Bunbury"/>
          <xsd:enumeration value="Carnarvon"/>
          <xsd:enumeration value="Ern Halliday"/>
          <xsd:enumeration value="Geraldton"/>
          <xsd:enumeration value="Kalgoorlie"/>
          <xsd:enumeration value="Karratha"/>
          <xsd:enumeration value="Kununurra"/>
          <xsd:enumeration value="Leederville"/>
          <xsd:enumeration value="Mandurah"/>
          <xsd:enumeration value="Northam"/>
          <xsd:enumeration value="Quaranup"/>
          <xsd:enumeration value="State Library Western Australia"/>
          <xsd:enumeration value="Woodman Point"/>
          <xsd:enumeration value="Metropolitan"/>
          <xsd:enumeration value="Regional"/>
        </xsd:restriction>
      </xsd:simpleType>
    </xsd:element>
    <xsd:element name="Division_x0020_JDF" ma:index="16" nillable="true" ma:displayName="Division JDF" ma:format="Dropdown" ma:internalName="Division_x0020_JDF">
      <xsd:simpleType>
        <xsd:restriction base="dms:Choice">
          <xsd:enumeration value="Capability and Performance"/>
          <xsd:enumeration value="Corporate Communications"/>
          <xsd:enumeration value="Corporate Services"/>
          <xsd:enumeration value="Creative Industries"/>
          <xsd:enumeration value="Creative Industries Tourism and Sport"/>
          <xsd:enumeration value="Finance"/>
          <xsd:enumeration value="Infrastructure Programs"/>
          <xsd:enumeration value="Integrity"/>
          <xsd:enumeration value="Legal Services"/>
          <xsd:enumeration value="Major and Capital Projects"/>
          <xsd:enumeration value="Office of Director General"/>
          <xsd:enumeration value="Office of Multicultural Interests"/>
          <xsd:enumeration value="Sport and Recreation"/>
          <xsd:enumeration value="Sport and Recreation and Infrastructure Services"/>
          <xsd:enumeration value="State Records Office"/>
          <xsd:enumeration value="Strategy and Performance Accountability"/>
          <xsd:enumeration value="Tourism Investment Delivery"/>
          <xsd:enumeration value="Tourism WA"/>
          <xsd:enumeration value="Various"/>
          <xsd:enumeration value="Test"/>
        </xsd:restriction>
      </xsd:simpleType>
    </xsd:element>
    <xsd:element name="Branch_x0020_JDF" ma:index="17" nillable="true" ma:displayName="Branch JDF" ma:format="Dropdown" ma:internalName="Branch_x0020_JDF">
      <xsd:simpleType>
        <xsd:restriction base="dms:Choice">
          <xsd:enumeration value="Aboriginal History WA"/>
          <xsd:enumeration value="Child Safeguarding Implementation Team"/>
          <xsd:enumeration value="Community Engagement &amp; Strategy"/>
          <xsd:enumeration value="Community Relations"/>
          <xsd:enumeration value="Corporate Communications"/>
          <xsd:enumeration value="Corporate Services"/>
          <xsd:enumeration value="Creative Industries"/>
          <xsd:enumeration value="Destination Development"/>
          <xsd:enumeration value="Digital and Technology Services"/>
          <xsd:enumeration value="Digital Communications"/>
          <xsd:enumeration value="Events"/>
          <xsd:enumeration value="Event Acquisition and Development"/>
          <xsd:enumeration value="External Budgeting"/>
          <xsd:enumeration value="Finance"/>
          <xsd:enumeration value="Financial Accounting"/>
          <xsd:enumeration value="Governance and Risk"/>
          <xsd:enumeration value="Human Resources"/>
          <xsd:enumeration value="Industry Partnerships and Development"/>
          <xsd:enumeration value="Infrastructure Programs"/>
          <xsd:enumeration value="Integrity"/>
          <xsd:enumeration value="Investment Research and Policy"/>
          <xsd:enumeration value="Legal Services"/>
          <xsd:enumeration value="Major and Capital Projects"/>
          <xsd:enumeration value="Management Accounting"/>
          <xsd:enumeration value="Marketing"/>
          <xsd:enumeration value="Media"/>
          <xsd:enumeration value="Ministerial Services"/>
          <xsd:enumeration value="Office of Director General"/>
          <xsd:enumeration value="Office of Multicultural Interests"/>
          <xsd:enumeration value="Payroll Services"/>
          <xsd:enumeration value="Performance Analysis and Reporting"/>
          <xsd:enumeration value="Procurement and Business Services"/>
          <xsd:enumeration value="Recreation Camps"/>
          <xsd:enumeration value="Regional Services"/>
          <xsd:enumeration value="Sport and Recreation"/>
          <xsd:enumeration value="State Records Office"/>
          <xsd:enumeration value="Strategic Policy"/>
          <xsd:enumeration value="Strategy and Planning"/>
          <xsd:enumeration value="Strategy and Engagement"/>
          <xsd:enumeration value="Strategy and Partnerships"/>
          <xsd:enumeration value="Strategy and Transformation"/>
          <xsd:enumeration value="Strategy and Performance Accountability"/>
          <xsd:enumeration value="Tourism Investment Delivery"/>
          <xsd:enumeration value="Tourism WA"/>
          <xsd:enumeration value="Various"/>
          <xsd:enumeration value="Grants Management and Program Delivery"/>
        </xsd:restriction>
      </xsd:simpleType>
    </xsd:element>
    <xsd:element name="Award_x0020_JDF" ma:index="18" nillable="true" ma:displayName="Award JDF" ma:default="" ma:format="Dropdown" ma:internalName="Award_x0020_JDF">
      <xsd:simpleType>
        <xsd:restriction base="dms:Choice">
          <xsd:enumeration value="Government Services (Misc) General Agreement"/>
          <xsd:enumeration value="Public Service General Agreement"/>
          <xsd:enumeration value="Sal &amp; Allce Act 1975 - Sal &amp; Allce Trib - Spl Div"/>
          <xsd:enumeration value="Unknown"/>
        </xsd:restriction>
      </xsd:simpleType>
    </xsd:element>
    <xsd:element name="Position_x0020_JDF" ma:index="19" nillable="true" ma:displayName="Position JDF" ma:default="" ma:internalName="Position_x0020_JDF" ma:percentage="FALSE">
      <xsd:simpleType>
        <xsd:restriction base="dms:Number"/>
      </xsd:simpleType>
    </xsd:element>
    <xsd:element name="Manager_x0020_Position_x0020_JDF" ma:index="20" nillable="true" ma:displayName="Manager Position JDF" ma:default="" ma:internalName="Manager_x0020_Position_x0020_JDF" ma:percentage="FALSE">
      <xsd:simpleType>
        <xsd:restriction base="dms:Number"/>
      </xsd:simpleType>
    </xsd:element>
    <xsd:element name="PositionNumbersJDF" ma:index="25" nillable="true" ma:displayName="Position Number(s)" ma:internalName="Position_x0020_Number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ef3c4-9665-425c-bf53-6f3aa9902a65"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ager_x0020_Position_x0020_Number_x0020_JDF xmlns="6ba7053f-e0f4-4d6d-b99b-1a84f6080beb" xsi:nil="true"/>
    <Manager_x0020_Position_x0020_JDF xmlns="6ba7053f-e0f4-4d6d-b99b-1a84f6080beb">15589</Manager_x0020_Position_x0020_JDF>
    <Generic_x0020_JDF xmlns="6ba7053f-e0f4-4d6d-b99b-1a84f6080beb">false</Generic_x0020_JDF>
    <Award_x0020_JDF xmlns="6ba7053f-e0f4-4d6d-b99b-1a84f6080beb">Public Service General Agreement</Award_x0020_JDF>
    <Location_x0020_JDF xmlns="6ba7053f-e0f4-4d6d-b99b-1a84f6080beb">Leederville</Location_x0020_JDF>
    <Start_x0020_Date_x0020_JDF xmlns="6ba7053f-e0f4-4d6d-b99b-1a84f6080beb">2024-08-11T16:00:00+00:00</Start_x0020_Date_x0020_JDF>
    <Position_x0020_Number_x0020_JDF xmlns="6ba7053f-e0f4-4d6d-b99b-1a84f6080beb">16333</Position_x0020_Number_x0020_JDF>
    <Classification_x0020_Level xmlns="6ba7053f-e0f4-4d6d-b99b-1a84f6080beb">Level 4</Classification_x0020_Level>
    <Division_x0020_JDF xmlns="6ba7053f-e0f4-4d6d-b99b-1a84f6080beb">Portfolio Capability and Performance</Division_x0020_JDF>
    <JDFEndDate xmlns="6ba7053f-e0f4-4d6d-b99b-1a84f6080beb">2026-06-29T16:00:00+00:00</JDFEndDate>
    <Branch_x0020_JDF xmlns="6ba7053f-e0f4-4d6d-b99b-1a84f6080beb">Portfolio Capability and Performance</Branch_x0020_JDF>
    <Status_x0020_JDF xmlns="6ba7053f-e0f4-4d6d-b99b-1a84f6080beb">Active</Status_x0020_JDF>
    <Position_x0020_JDF xmlns="6ba7053f-e0f4-4d6d-b99b-1a84f6080beb">16333</Position_x0020_JDF>
    <PositionNumbersJDF xmlns="6ba7053f-e0f4-4d6d-b99b-1a84f6080beb">16333</PositionNumbersJ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CE5E7-2A32-40D7-8AFD-B58ADB42D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7053f-e0f4-4d6d-b99b-1a84f6080beb"/>
    <ds:schemaRef ds:uri="b74ef3c4-9665-425c-bf53-6f3aa9902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6ba7053f-e0f4-4d6d-b99b-1a84f6080beb"/>
  </ds:schemaRefs>
</ds:datastoreItem>
</file>

<file path=customXml/itemProps3.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4.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Redress Officer</vt:lpstr>
    </vt:vector>
  </TitlesOfParts>
  <Company>Department of Culture and the Arts</Company>
  <LinksUpToDate>false</LinksUpToDate>
  <CharactersWithSpaces>5680</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 Officer</dc:title>
  <dc:subject/>
  <dc:creator>Andrew Harvey</dc:creator>
  <cp:keywords/>
  <cp:lastModifiedBy>Rachana Raval</cp:lastModifiedBy>
  <cp:revision>2</cp:revision>
  <cp:lastPrinted>2014-08-21T12:29:00Z</cp:lastPrinted>
  <dcterms:created xsi:type="dcterms:W3CDTF">2026-03-25T01:40:00Z</dcterms:created>
  <dcterms:modified xsi:type="dcterms:W3CDTF">2026-03-25T01:40:00Z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0x0101001606204C495BEE409239BDF79B32EEF1008B910282700A9746928549065B0E2427</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