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3895" w14:textId="38F34084" w:rsidR="00D0094B" w:rsidRPr="00DD53C4" w:rsidRDefault="00DD53C4" w:rsidP="00DD53C4">
      <w:pPr>
        <w:spacing w:after="204" w:line="397" w:lineRule="auto"/>
        <w:ind w:left="0" w:right="855" w:firstLine="0"/>
        <w:rPr>
          <w:b/>
          <w:color w:val="C24F2D"/>
          <w:sz w:val="30"/>
        </w:rPr>
      </w:pPr>
      <w:r w:rsidRPr="00DD53C4">
        <w:rPr>
          <w:b/>
          <w:color w:val="C24F2D"/>
          <w:sz w:val="30"/>
        </w:rPr>
        <w:t xml:space="preserve">Director, </w:t>
      </w:r>
      <w:r w:rsidR="00030D14">
        <w:rPr>
          <w:b/>
          <w:color w:val="C24F2D"/>
          <w:sz w:val="30"/>
        </w:rPr>
        <w:t xml:space="preserve">2029 </w:t>
      </w:r>
      <w:r w:rsidRPr="00DD53C4">
        <w:rPr>
          <w:b/>
          <w:color w:val="C24F2D"/>
          <w:sz w:val="30"/>
        </w:rPr>
        <w:t xml:space="preserve">Bicentenary </w:t>
      </w:r>
      <w:r w:rsidR="004E4A6E" w:rsidRPr="00DD53C4">
        <w:rPr>
          <w:b/>
          <w:color w:val="C24F2D"/>
          <w:sz w:val="30"/>
        </w:rPr>
        <w:t>P</w:t>
      </w:r>
      <w:r w:rsidR="004E4A6E">
        <w:rPr>
          <w:b/>
          <w:color w:val="C24F2D"/>
          <w:sz w:val="30"/>
        </w:rPr>
        <w:t>roject</w:t>
      </w:r>
      <w:r w:rsidRPr="00DD53C4">
        <w:rPr>
          <w:b/>
          <w:color w:val="C24F2D"/>
          <w:sz w:val="30"/>
        </w:rPr>
        <w:t>, Class 1 (</w:t>
      </w:r>
      <w:r w:rsidR="00256FC1">
        <w:rPr>
          <w:b/>
          <w:color w:val="C24F2D"/>
          <w:sz w:val="30"/>
        </w:rPr>
        <w:t>DPCT4271</w:t>
      </w:r>
      <w:r w:rsidRPr="00DD53C4">
        <w:rPr>
          <w:b/>
          <w:color w:val="C24F2D"/>
          <w:sz w:val="30"/>
        </w:rPr>
        <w:t>)</w:t>
      </w:r>
    </w:p>
    <w:tbl>
      <w:tblPr>
        <w:tblStyle w:val="TableGrid0"/>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6818C1" w:rsidRPr="002A3C71" w14:paraId="289BDC16" w14:textId="77777777" w:rsidTr="00A24C81">
        <w:trPr>
          <w:trHeight w:val="465"/>
        </w:trPr>
        <w:tc>
          <w:tcPr>
            <w:tcW w:w="4395" w:type="dxa"/>
            <w:vAlign w:val="center"/>
          </w:tcPr>
          <w:p w14:paraId="674504EB" w14:textId="50BDED14" w:rsidR="006818C1" w:rsidRPr="002A3C71" w:rsidRDefault="006818C1" w:rsidP="00920CB9">
            <w:pPr>
              <w:pStyle w:val="Formfields"/>
              <w:framePr w:wrap="around"/>
              <w:rPr>
                <w:color w:val="auto"/>
              </w:rPr>
            </w:pPr>
            <w:r>
              <w:t>Division</w:t>
            </w:r>
            <w:r w:rsidRPr="00D007E3">
              <w:t>:</w:t>
            </w:r>
            <w:r w:rsidRPr="003E4522">
              <w:rPr>
                <w:color w:val="auto"/>
              </w:rPr>
              <w:t xml:space="preserve"> </w:t>
            </w:r>
            <w:r w:rsidR="000B5140">
              <w:rPr>
                <w:color w:val="auto"/>
              </w:rPr>
              <w:t>State Services</w:t>
            </w:r>
          </w:p>
        </w:tc>
        <w:tc>
          <w:tcPr>
            <w:tcW w:w="4814" w:type="dxa"/>
            <w:vAlign w:val="center"/>
          </w:tcPr>
          <w:p w14:paraId="5DDAA940" w14:textId="213CFBD9" w:rsidR="006818C1" w:rsidRPr="002A3C71" w:rsidRDefault="006818C1" w:rsidP="00A24C81">
            <w:pPr>
              <w:pStyle w:val="Formfields"/>
              <w:framePr w:hSpace="0" w:wrap="auto" w:vAnchor="margin" w:yAlign="inline"/>
              <w:suppressOverlap w:val="0"/>
              <w:rPr>
                <w:color w:val="auto"/>
              </w:rPr>
            </w:pPr>
            <w:r w:rsidRPr="00D007E3">
              <w:t>Reports to:</w:t>
            </w:r>
            <w:r w:rsidRPr="003E4522">
              <w:rPr>
                <w:color w:val="auto"/>
              </w:rPr>
              <w:t xml:space="preserve"> </w:t>
            </w:r>
            <w:r w:rsidR="00215E7D">
              <w:rPr>
                <w:color w:val="auto"/>
              </w:rPr>
              <w:t>Assistant Director General</w:t>
            </w:r>
          </w:p>
        </w:tc>
      </w:tr>
    </w:tbl>
    <w:tbl>
      <w:tblPr>
        <w:tblStyle w:val="TableGrid0"/>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6818C1" w:rsidRPr="00D007E3" w14:paraId="71487258" w14:textId="77777777" w:rsidTr="00A24C81">
        <w:trPr>
          <w:trHeight w:val="465"/>
        </w:trPr>
        <w:tc>
          <w:tcPr>
            <w:tcW w:w="4395" w:type="dxa"/>
            <w:vAlign w:val="center"/>
          </w:tcPr>
          <w:p w14:paraId="7E56F7AE" w14:textId="6BA910C9" w:rsidR="006818C1" w:rsidRPr="002A3C71" w:rsidRDefault="006818C1" w:rsidP="00A24C81">
            <w:pPr>
              <w:pStyle w:val="Formfields"/>
              <w:framePr w:hSpace="0" w:wrap="auto" w:vAnchor="margin" w:yAlign="inline"/>
              <w:suppressOverlap w:val="0"/>
              <w:rPr>
                <w:color w:val="auto"/>
              </w:rPr>
            </w:pPr>
            <w:r>
              <w:t xml:space="preserve">Directorate </w:t>
            </w:r>
            <w:r w:rsidRPr="0061254A">
              <w:t>Branch:</w:t>
            </w:r>
            <w:r w:rsidRPr="002A3C71">
              <w:rPr>
                <w:color w:val="auto"/>
              </w:rPr>
              <w:t xml:space="preserve"> </w:t>
            </w:r>
            <w:r w:rsidR="000B5140">
              <w:rPr>
                <w:color w:val="auto"/>
              </w:rPr>
              <w:t>Bicentenary</w:t>
            </w:r>
            <w:r w:rsidR="00C15599">
              <w:rPr>
                <w:color w:val="auto"/>
              </w:rPr>
              <w:t xml:space="preserve"> Project Unit </w:t>
            </w:r>
            <w:r w:rsidR="000B5140">
              <w:rPr>
                <w:color w:val="auto"/>
              </w:rPr>
              <w:t xml:space="preserve"> </w:t>
            </w:r>
          </w:p>
        </w:tc>
        <w:tc>
          <w:tcPr>
            <w:tcW w:w="4814" w:type="dxa"/>
            <w:vAlign w:val="center"/>
          </w:tcPr>
          <w:p w14:paraId="6968B72F" w14:textId="267A4B64" w:rsidR="006818C1" w:rsidRPr="00D007E3" w:rsidRDefault="006818C1" w:rsidP="00A24C81">
            <w:pPr>
              <w:pStyle w:val="Formfields"/>
              <w:framePr w:hSpace="0" w:wrap="auto" w:vAnchor="margin" w:yAlign="inline"/>
              <w:suppressOverlap w:val="0"/>
            </w:pPr>
            <w:r w:rsidRPr="00D007E3">
              <w:t>Supervises</w:t>
            </w:r>
            <w:r w:rsidRPr="0061254A">
              <w:t>:</w:t>
            </w:r>
            <w:r w:rsidRPr="003E4522">
              <w:rPr>
                <w:color w:val="auto"/>
              </w:rPr>
              <w:t xml:space="preserve"> </w:t>
            </w:r>
            <w:r w:rsidR="00C15599">
              <w:rPr>
                <w:color w:val="auto"/>
              </w:rPr>
              <w:t>4</w:t>
            </w:r>
            <w:r w:rsidR="00215E7D">
              <w:rPr>
                <w:color w:val="auto"/>
              </w:rPr>
              <w:t xml:space="preserve"> FTE</w:t>
            </w:r>
          </w:p>
        </w:tc>
      </w:tr>
      <w:tr w:rsidR="006818C1" w:rsidRPr="00D007E3" w14:paraId="40906F1B" w14:textId="77777777" w:rsidTr="00A24C81">
        <w:trPr>
          <w:trHeight w:val="465"/>
        </w:trPr>
        <w:tc>
          <w:tcPr>
            <w:tcW w:w="4395" w:type="dxa"/>
            <w:vAlign w:val="center"/>
          </w:tcPr>
          <w:p w14:paraId="73141E50" w14:textId="223DE7EE" w:rsidR="006818C1" w:rsidRDefault="00782610" w:rsidP="00A24C81">
            <w:pPr>
              <w:pStyle w:val="Formfields"/>
              <w:framePr w:hSpace="0" w:wrap="auto" w:vAnchor="margin" w:yAlign="inline"/>
              <w:suppressOverlap w:val="0"/>
            </w:pPr>
            <w:r>
              <w:t xml:space="preserve">Location </w:t>
            </w:r>
            <w:r w:rsidR="00132F1B" w:rsidRPr="00920CB9">
              <w:rPr>
                <w:color w:val="auto"/>
              </w:rPr>
              <w:t>Perth</w:t>
            </w:r>
            <w:r w:rsidR="00215E7D">
              <w:rPr>
                <w:color w:val="auto"/>
              </w:rPr>
              <w:t xml:space="preserve"> Metro</w:t>
            </w:r>
          </w:p>
        </w:tc>
        <w:tc>
          <w:tcPr>
            <w:tcW w:w="4814" w:type="dxa"/>
            <w:vAlign w:val="center"/>
          </w:tcPr>
          <w:p w14:paraId="65DBE942" w14:textId="6D125267" w:rsidR="006818C1" w:rsidRPr="00D007E3" w:rsidRDefault="00A67B6E" w:rsidP="00A24C81">
            <w:pPr>
              <w:pStyle w:val="Formfields"/>
              <w:framePr w:hSpace="0" w:wrap="auto" w:vAnchor="margin" w:yAlign="inline"/>
              <w:suppressOverlap w:val="0"/>
            </w:pPr>
            <w:r>
              <w:t>O</w:t>
            </w:r>
            <w:r w:rsidR="00AE7E3A">
              <w:t>SCA</w:t>
            </w:r>
            <w:r>
              <w:t xml:space="preserve"> Code</w:t>
            </w:r>
            <w:r w:rsidR="00AE7E3A">
              <w:t>:</w:t>
            </w:r>
            <w:r w:rsidR="007F4DF9">
              <w:t xml:space="preserve"> </w:t>
            </w:r>
            <w:r w:rsidR="007F4DF9" w:rsidRPr="007F4DF9">
              <w:rPr>
                <w:color w:val="auto"/>
              </w:rPr>
              <w:t>111431</w:t>
            </w:r>
          </w:p>
        </w:tc>
      </w:tr>
    </w:tbl>
    <w:p w14:paraId="01F099A3" w14:textId="77777777" w:rsidR="006818C1" w:rsidRDefault="006818C1">
      <w:pPr>
        <w:spacing w:after="151" w:line="259" w:lineRule="auto"/>
        <w:ind w:left="-5"/>
        <w:rPr>
          <w:b/>
          <w:color w:val="C24F2D"/>
        </w:rPr>
      </w:pPr>
    </w:p>
    <w:p w14:paraId="090384C6" w14:textId="02E1AE28" w:rsidR="00D0094B" w:rsidRDefault="00FB572F">
      <w:pPr>
        <w:spacing w:after="151" w:line="259" w:lineRule="auto"/>
        <w:ind w:left="-5"/>
      </w:pPr>
      <w:r>
        <w:rPr>
          <w:b/>
          <w:color w:val="C24F2D"/>
        </w:rPr>
        <w:t xml:space="preserve">Our vision is to lead a connected government that delivers a brighter future for Western Australians. </w:t>
      </w:r>
    </w:p>
    <w:p w14:paraId="67094ED5" w14:textId="77777777" w:rsidR="00D0094B" w:rsidRDefault="00FB572F">
      <w:pPr>
        <w:ind w:left="-5"/>
      </w:pPr>
      <w:r>
        <w:t xml:space="preserve">The Department of the Premier and Cabinet (DPC) </w:t>
      </w:r>
      <w:proofErr w:type="gramStart"/>
      <w:r>
        <w:t>leads</w:t>
      </w:r>
      <w:proofErr w:type="gramEnd"/>
      <w:r>
        <w:t xml:space="preserve"> the public sector in providing whole-of-Government advice and support to the Premier and Cabinet in their service of the WA community. </w:t>
      </w:r>
    </w:p>
    <w:p w14:paraId="1A8B9634" w14:textId="117DB6E3" w:rsidR="00D0094B" w:rsidRDefault="00FB572F">
      <w:pPr>
        <w:spacing w:after="217"/>
        <w:ind w:left="-5"/>
      </w:pPr>
      <w:r>
        <w:rPr>
          <w:noProof/>
        </w:rPr>
        <w:drawing>
          <wp:anchor distT="0" distB="0" distL="114300" distR="114300" simplePos="0" relativeHeight="251658240" behindDoc="0" locked="0" layoutInCell="1" allowOverlap="0" wp14:anchorId="11607561" wp14:editId="52F305A5">
            <wp:simplePos x="0" y="0"/>
            <wp:positionH relativeFrom="page">
              <wp:posOffset>4065893</wp:posOffset>
            </wp:positionH>
            <wp:positionV relativeFrom="page">
              <wp:posOffset>9469806</wp:posOffset>
            </wp:positionV>
            <wp:extent cx="3349753" cy="588264"/>
            <wp:effectExtent l="0" t="0" r="0" b="0"/>
            <wp:wrapTopAndBottom/>
            <wp:docPr id="2705" name="Picture 2705"/>
            <wp:cNvGraphicFramePr/>
            <a:graphic xmlns:a="http://schemas.openxmlformats.org/drawingml/2006/main">
              <a:graphicData uri="http://schemas.openxmlformats.org/drawingml/2006/picture">
                <pic:pic xmlns:pic="http://schemas.openxmlformats.org/drawingml/2006/picture">
                  <pic:nvPicPr>
                    <pic:cNvPr id="2705" name="Picture 2705"/>
                    <pic:cNvPicPr/>
                  </pic:nvPicPr>
                  <pic:blipFill>
                    <a:blip r:embed="rId7"/>
                    <a:stretch>
                      <a:fillRect/>
                    </a:stretch>
                  </pic:blipFill>
                  <pic:spPr>
                    <a:xfrm>
                      <a:off x="0" y="0"/>
                      <a:ext cx="3349753" cy="588264"/>
                    </a:xfrm>
                    <a:prstGeom prst="rect">
                      <a:avLst/>
                    </a:prstGeom>
                  </pic:spPr>
                </pic:pic>
              </a:graphicData>
            </a:graphic>
          </wp:anchor>
        </w:drawing>
      </w:r>
      <w:r>
        <w:t>Join us and work in a role where you can make a real difference to the lives of children, families, individuals and communities throughout Western Australia.</w:t>
      </w:r>
    </w:p>
    <w:p w14:paraId="780E0042" w14:textId="77777777" w:rsidR="00D0094B" w:rsidRDefault="00FB572F">
      <w:pPr>
        <w:spacing w:after="151" w:line="259" w:lineRule="auto"/>
        <w:ind w:left="-5"/>
      </w:pPr>
      <w:r>
        <w:rPr>
          <w:b/>
          <w:color w:val="C24F2D"/>
        </w:rPr>
        <w:t xml:space="preserve">Our values, </w:t>
      </w:r>
      <w:r>
        <w:rPr>
          <w:b/>
          <w:i/>
          <w:color w:val="C24F2D"/>
        </w:rPr>
        <w:t>Leadership, Connection and Impact</w:t>
      </w:r>
      <w:r>
        <w:rPr>
          <w:b/>
          <w:color w:val="C24F2D"/>
        </w:rPr>
        <w:t xml:space="preserve">, underpin the way we work. </w:t>
      </w:r>
    </w:p>
    <w:p w14:paraId="2E60A2B5" w14:textId="03F438D6" w:rsidR="00E47D57" w:rsidRPr="00083F81" w:rsidRDefault="00E47D57" w:rsidP="00E47D57">
      <w:pPr>
        <w:ind w:left="-5"/>
        <w:jc w:val="both"/>
      </w:pPr>
      <w:r w:rsidRPr="00C44952">
        <w:t xml:space="preserve">The Bicentenary Project Unit has been formed to support the delivery of Western Australia’s approach to 2029. This </w:t>
      </w:r>
      <w:r w:rsidRPr="00A9714F">
        <w:t xml:space="preserve">significant </w:t>
      </w:r>
      <w:r w:rsidRPr="00083F81">
        <w:t>milestone is an opportunity to reflect on WA’s history, honour the diversity of its communities, and look forward to a future grounded in truth -telling, reconciliation and unity.</w:t>
      </w:r>
      <w:r w:rsidRPr="00083F81">
        <w:rPr>
          <w:rFonts w:ascii="Aptos" w:eastAsiaTheme="minorEastAsia" w:hAnsi="Aptos" w:cs="Aptos"/>
          <w:color w:val="000000"/>
          <w:kern w:val="0"/>
          <w:sz w:val="24"/>
          <w:szCs w:val="24"/>
          <w14:ligatures w14:val="none"/>
        </w:rPr>
        <w:t xml:space="preserve"> </w:t>
      </w:r>
    </w:p>
    <w:p w14:paraId="5182D37F" w14:textId="77777777" w:rsidR="00C44952" w:rsidRDefault="00C44952" w:rsidP="00C44952">
      <w:pPr>
        <w:ind w:left="-5"/>
        <w:jc w:val="both"/>
      </w:pPr>
      <w:r w:rsidRPr="00C15599">
        <w:t xml:space="preserve">The Unit is accountable for ensuring that planning for 2029 recognises the wide range of diverse cultures that make up Western Australia. </w:t>
      </w:r>
      <w:r>
        <w:t xml:space="preserve">The Project </w:t>
      </w:r>
      <w:r w:rsidRPr="00C8197C">
        <w:t>will guide the development of themes, activities and partnerships that honour the State’s past while creating opportunities for participation, storytelling and celebration across all Western Australians in the lead</w:t>
      </w:r>
      <w:r w:rsidRPr="00C8197C">
        <w:rPr>
          <w:rFonts w:ascii="Cambria Math" w:hAnsi="Cambria Math" w:cs="Cambria Math"/>
        </w:rPr>
        <w:t>‑</w:t>
      </w:r>
      <w:r w:rsidRPr="00C8197C">
        <w:t>up to 2029.</w:t>
      </w:r>
    </w:p>
    <w:p w14:paraId="6E0376DF" w14:textId="628F7BFB" w:rsidR="00215E7D" w:rsidRPr="004612EE" w:rsidRDefault="00C44952" w:rsidP="00083F81">
      <w:pPr>
        <w:ind w:left="-5"/>
        <w:jc w:val="both"/>
        <w:rPr>
          <w:sz w:val="22"/>
          <w:szCs w:val="22"/>
        </w:rPr>
      </w:pPr>
      <w:r>
        <w:t>The U</w:t>
      </w:r>
      <w:r w:rsidR="000B5140" w:rsidRPr="00C15599">
        <w:t>nit</w:t>
      </w:r>
      <w:r w:rsidR="00215E7D">
        <w:t xml:space="preserve"> is part of the State Services Division which </w:t>
      </w:r>
      <w:r w:rsidR="00215E7D" w:rsidRPr="00460C3B">
        <w:t xml:space="preserve">delivers </w:t>
      </w:r>
      <w:r w:rsidR="00D069A8">
        <w:t>executive government support to the Premier and Cabinet, and corporate services to the Department, the Premier, Ministers, Ministerial Offices, Members of Parliament and client agencies. The Division has over 200 FTE, and includes External Engagement and Events, Corporate Services Directorate, People Services Directorate, Information and Technology Directorate, Agency Improvement Unit and the Governance and Strategy Unit.</w:t>
      </w:r>
    </w:p>
    <w:p w14:paraId="311897FA" w14:textId="16EC9CE7" w:rsidR="00D0094B" w:rsidRPr="00920CB9" w:rsidRDefault="00FB572F" w:rsidP="00920CB9">
      <w:pPr>
        <w:ind w:left="-5"/>
        <w:rPr>
          <w:color w:val="C24F2D"/>
        </w:rPr>
      </w:pPr>
      <w:r w:rsidRPr="00C44072">
        <w:rPr>
          <w:b/>
          <w:color w:val="C24F2D"/>
        </w:rPr>
        <w:t xml:space="preserve">About the Role </w:t>
      </w:r>
    </w:p>
    <w:p w14:paraId="0AEE86A7" w14:textId="77777777" w:rsidR="00C8197C" w:rsidRDefault="00C8197C">
      <w:pPr>
        <w:ind w:left="-5"/>
      </w:pPr>
      <w:r w:rsidRPr="00C8197C">
        <w:t xml:space="preserve">The Director, Bicentenary </w:t>
      </w:r>
      <w:r>
        <w:t xml:space="preserve">Project </w:t>
      </w:r>
      <w:r w:rsidRPr="00C8197C">
        <w:t>provides whole</w:t>
      </w:r>
      <w:r w:rsidRPr="00C8197C">
        <w:rPr>
          <w:rFonts w:ascii="Cambria Math" w:hAnsi="Cambria Math" w:cs="Cambria Math"/>
        </w:rPr>
        <w:t>‑</w:t>
      </w:r>
      <w:r w:rsidRPr="00C8197C">
        <w:t>of</w:t>
      </w:r>
      <w:r w:rsidRPr="00C8197C">
        <w:rPr>
          <w:rFonts w:ascii="Cambria Math" w:hAnsi="Cambria Math" w:cs="Cambria Math"/>
        </w:rPr>
        <w:t>‑</w:t>
      </w:r>
      <w:r w:rsidRPr="00C8197C">
        <w:t xml:space="preserve">government leadership for the planning and coordination of Western Australia’s Bicentenary 2029, guiding the strategic development of the program’s themes, structure, budgets and funding frameworks. The role </w:t>
      </w:r>
      <w:r w:rsidRPr="00C8197C">
        <w:lastRenderedPageBreak/>
        <w:t>leads extensive engagement across government and with key external partners</w:t>
      </w:r>
      <w:r>
        <w:t xml:space="preserve"> </w:t>
      </w:r>
      <w:r w:rsidRPr="00C8197C">
        <w:t>including culture and the arts, historical and heritage bodies, local government, Aboriginal</w:t>
      </w:r>
      <w:r w:rsidRPr="00C8197C">
        <w:rPr>
          <w:rFonts w:ascii="Cambria Math" w:hAnsi="Cambria Math" w:cs="Cambria Math"/>
        </w:rPr>
        <w:t>‑</w:t>
      </w:r>
      <w:r w:rsidRPr="00C8197C">
        <w:t>led organisations and diverse community sectors</w:t>
      </w:r>
      <w:r>
        <w:t xml:space="preserve"> </w:t>
      </w:r>
      <w:r w:rsidRPr="00C8197C">
        <w:t xml:space="preserve">to ensure the bicentenary is informed by broad, meaningful participation. </w:t>
      </w:r>
    </w:p>
    <w:p w14:paraId="1B5E9D4D" w14:textId="4710F1B1" w:rsidR="00C8197C" w:rsidRDefault="00C8197C">
      <w:pPr>
        <w:ind w:left="-5"/>
      </w:pPr>
      <w:r w:rsidRPr="00C8197C">
        <w:t>The Director oversees governance, program architecture, interagency collaboration and the preparation of high</w:t>
      </w:r>
      <w:r w:rsidRPr="00C8197C">
        <w:rPr>
          <w:rFonts w:ascii="Cambria Math" w:hAnsi="Cambria Math" w:cs="Cambria Math"/>
        </w:rPr>
        <w:t>‑</w:t>
      </w:r>
      <w:r w:rsidRPr="00C8197C">
        <w:t>level reporting and updates for the Premier and Parliamentary Secretary. Central to the role is supporting the Parliamentary Secretary and the Bicentenary Planning Advisory Group to deliver a cohesive, culturally informed and forward</w:t>
      </w:r>
      <w:r w:rsidRPr="00C8197C">
        <w:rPr>
          <w:rFonts w:ascii="Cambria Math" w:hAnsi="Cambria Math" w:cs="Cambria Math"/>
        </w:rPr>
        <w:t>‑</w:t>
      </w:r>
      <w:r w:rsidRPr="00C8197C">
        <w:t>looking bicentenary program that reflects the State’s history, diversity and shared aspirations for 2029 and beyond</w:t>
      </w:r>
      <w:r>
        <w:t>.</w:t>
      </w:r>
    </w:p>
    <w:p w14:paraId="178B2957" w14:textId="628EAF6C" w:rsidR="00D0094B" w:rsidRDefault="00161FB3">
      <w:pPr>
        <w:ind w:left="-5"/>
      </w:pPr>
      <w:r w:rsidRPr="00161FB3">
        <w:rPr>
          <w:b/>
          <w:color w:val="C24F2D"/>
        </w:rPr>
        <w:t>Responsibilities</w:t>
      </w:r>
      <w:r w:rsidR="00FB572F">
        <w:t xml:space="preserve"> </w:t>
      </w:r>
    </w:p>
    <w:p w14:paraId="16E5C6F5" w14:textId="6D264573" w:rsidR="00D0094B" w:rsidRDefault="00FB572F" w:rsidP="001562DD">
      <w:pPr>
        <w:pStyle w:val="ListParagraph"/>
        <w:numPr>
          <w:ilvl w:val="0"/>
          <w:numId w:val="2"/>
        </w:numPr>
        <w:spacing w:after="118"/>
      </w:pPr>
      <w:r>
        <w:t xml:space="preserve">Leads </w:t>
      </w:r>
      <w:r w:rsidR="00C8197C">
        <w:t xml:space="preserve">the </w:t>
      </w:r>
      <w:r>
        <w:t>coordination</w:t>
      </w:r>
      <w:r w:rsidR="00C8197C">
        <w:t>,</w:t>
      </w:r>
      <w:r>
        <w:t xml:space="preserve"> development</w:t>
      </w:r>
      <w:r w:rsidR="00C8197C">
        <w:t>,</w:t>
      </w:r>
      <w:r>
        <w:t xml:space="preserve"> and implementation of </w:t>
      </w:r>
      <w:r w:rsidR="00C8197C">
        <w:t xml:space="preserve">planning activities for the </w:t>
      </w:r>
      <w:r w:rsidR="00C15599">
        <w:t xml:space="preserve">2029 </w:t>
      </w:r>
      <w:r w:rsidR="00C8197C">
        <w:t>Bicentenary</w:t>
      </w:r>
      <w:r w:rsidR="00A448F4">
        <w:t>,</w:t>
      </w:r>
      <w:r w:rsidR="00C8197C">
        <w:t xml:space="preserve"> </w:t>
      </w:r>
      <w:r w:rsidR="009A34B2" w:rsidRPr="009A34B2">
        <w:t xml:space="preserve">ensuring diverse voices and communities are represented throughout the process to </w:t>
      </w:r>
      <w:r w:rsidR="00C8197C">
        <w:t>inform the</w:t>
      </w:r>
      <w:r w:rsidR="009A34B2" w:rsidRPr="009A34B2">
        <w:t xml:space="preserve"> themes and approaches for the occasion </w:t>
      </w:r>
    </w:p>
    <w:p w14:paraId="080E679E" w14:textId="6DFE7D59" w:rsidR="00D0094B" w:rsidRDefault="00FB572F" w:rsidP="001562DD">
      <w:pPr>
        <w:pStyle w:val="ListParagraph"/>
        <w:numPr>
          <w:ilvl w:val="0"/>
          <w:numId w:val="2"/>
        </w:numPr>
        <w:spacing w:after="118"/>
      </w:pPr>
      <w:r>
        <w:t xml:space="preserve">Leads the design, development and implementation of strategic programs, policies and </w:t>
      </w:r>
      <w:r w:rsidR="00C8197C">
        <w:t>initiatives that reflect t</w:t>
      </w:r>
      <w:r w:rsidR="00C8197C" w:rsidRPr="00C8197C">
        <w:t>he State’s history, identity and aspirations, ensuring they meet community needs and align with agreed government frameworks.</w:t>
      </w:r>
    </w:p>
    <w:p w14:paraId="6F23C4F7" w14:textId="338ACBF2" w:rsidR="000E4967" w:rsidRDefault="00FB572F" w:rsidP="001562DD">
      <w:pPr>
        <w:pStyle w:val="ListParagraph"/>
        <w:numPr>
          <w:ilvl w:val="0"/>
          <w:numId w:val="2"/>
        </w:numPr>
        <w:spacing w:after="118"/>
      </w:pPr>
      <w:r>
        <w:t>Provides strategic leadership</w:t>
      </w:r>
      <w:r w:rsidR="009E0C61">
        <w:t xml:space="preserve"> and change management initiative</w:t>
      </w:r>
      <w:r w:rsidR="000D4F0C">
        <w:t>s</w:t>
      </w:r>
      <w:r>
        <w:t xml:space="preserve"> </w:t>
      </w:r>
      <w:r w:rsidR="00C8197C">
        <w:t>to address</w:t>
      </w:r>
      <w:r>
        <w:t xml:space="preserve"> complex </w:t>
      </w:r>
      <w:r w:rsidR="00A448F4">
        <w:t xml:space="preserve">cultural, historical, and social considerations associated with </w:t>
      </w:r>
      <w:r w:rsidR="00FD6D88">
        <w:t xml:space="preserve">issues </w:t>
      </w:r>
      <w:r w:rsidR="00C8197C">
        <w:t xml:space="preserve">arising throughout the bicentenary planning cycle, </w:t>
      </w:r>
      <w:r w:rsidR="000D4647">
        <w:t>ensur</w:t>
      </w:r>
      <w:r w:rsidR="00920CB9">
        <w:t>ing evolving</w:t>
      </w:r>
      <w:r w:rsidR="000D4647">
        <w:t xml:space="preserve"> </w:t>
      </w:r>
      <w:r>
        <w:t>community need</w:t>
      </w:r>
      <w:r w:rsidR="00920CB9">
        <w:t>s are understood and incorporated.</w:t>
      </w:r>
    </w:p>
    <w:p w14:paraId="2BA9DE3C" w14:textId="3F63F1B6" w:rsidR="00D0094B" w:rsidRDefault="000E4967" w:rsidP="001562DD">
      <w:pPr>
        <w:pStyle w:val="ListParagraph"/>
        <w:numPr>
          <w:ilvl w:val="0"/>
          <w:numId w:val="2"/>
        </w:numPr>
        <w:spacing w:after="118"/>
      </w:pPr>
      <w:r>
        <w:t>E</w:t>
      </w:r>
      <w:r w:rsidR="00FB572F">
        <w:t>stablishes</w:t>
      </w:r>
      <w:r w:rsidR="00A448F4">
        <w:t xml:space="preserve"> and maintains</w:t>
      </w:r>
      <w:r w:rsidR="00FB572F">
        <w:t xml:space="preserve"> a robust platform for </w:t>
      </w:r>
      <w:r w:rsidR="004553E4" w:rsidRPr="004553E4">
        <w:t>strong cultural governance</w:t>
      </w:r>
      <w:r w:rsidR="00920CB9">
        <w:t xml:space="preserve"> </w:t>
      </w:r>
      <w:r w:rsidR="00A448F4">
        <w:t>a</w:t>
      </w:r>
      <w:r w:rsidR="00A448F4" w:rsidRPr="00A448F4">
        <w:t xml:space="preserve">nd inclusive engagement with regional, remote, </w:t>
      </w:r>
      <w:r w:rsidR="00083F81">
        <w:t xml:space="preserve">Aboriginal and Torres Strait Islander </w:t>
      </w:r>
      <w:r w:rsidR="00A448F4" w:rsidRPr="00A448F4">
        <w:t>and multicultural communities, ensuring respectful recognition of WA’s history and meaningful participation across sectors</w:t>
      </w:r>
      <w:r w:rsidR="00920CB9">
        <w:t>.</w:t>
      </w:r>
    </w:p>
    <w:p w14:paraId="07269F25" w14:textId="672AAC82" w:rsidR="00A448F4" w:rsidRDefault="00A448F4" w:rsidP="001562DD">
      <w:pPr>
        <w:pStyle w:val="ListParagraph"/>
        <w:numPr>
          <w:ilvl w:val="0"/>
          <w:numId w:val="2"/>
        </w:numPr>
        <w:spacing w:after="118"/>
      </w:pPr>
      <w:r>
        <w:t xml:space="preserve">Leads and oversees </w:t>
      </w:r>
      <w:r w:rsidR="00FB572F">
        <w:t xml:space="preserve">sound and sustainable strategic, operational and business planning </w:t>
      </w:r>
      <w:r w:rsidRPr="00A448F4">
        <w:t>to support program design, community</w:t>
      </w:r>
      <w:r w:rsidRPr="00A448F4">
        <w:rPr>
          <w:rFonts w:ascii="Cambria Math" w:hAnsi="Cambria Math" w:cs="Cambria Math"/>
        </w:rPr>
        <w:t>‑</w:t>
      </w:r>
      <w:r w:rsidRPr="00A448F4">
        <w:t>facing initiatives, and the delivery of bicentenary activities, including planning processes that specifically support First Nations and multicultural communities</w:t>
      </w:r>
      <w:r>
        <w:t>.</w:t>
      </w:r>
    </w:p>
    <w:p w14:paraId="1E3A5801" w14:textId="7AE7E2E8" w:rsidR="00920CB9" w:rsidRDefault="00920CB9" w:rsidP="001562DD">
      <w:pPr>
        <w:pStyle w:val="ListParagraph"/>
        <w:numPr>
          <w:ilvl w:val="0"/>
          <w:numId w:val="2"/>
        </w:numPr>
        <w:spacing w:after="118"/>
      </w:pPr>
      <w:r w:rsidRPr="00920CB9">
        <w:t xml:space="preserve">Develops, drives and sustains collaborative and productive stakeholder relationships across government and the community, </w:t>
      </w:r>
      <w:r w:rsidR="00A448F4" w:rsidRPr="00A448F4">
        <w:t>including industry bodies, local government, cultural and historical sectors, Aboriginal</w:t>
      </w:r>
      <w:r w:rsidR="00A448F4" w:rsidRPr="00A448F4">
        <w:rPr>
          <w:rFonts w:ascii="Cambria Math" w:hAnsi="Cambria Math" w:cs="Cambria Math"/>
        </w:rPr>
        <w:t>‑</w:t>
      </w:r>
      <w:r w:rsidR="00A448F4" w:rsidRPr="00A448F4">
        <w:t>led organisations and diverse community groups.</w:t>
      </w:r>
    </w:p>
    <w:p w14:paraId="096DF8A8" w14:textId="63C4EBB2" w:rsidR="00D0094B" w:rsidRDefault="00FB572F" w:rsidP="001562DD">
      <w:pPr>
        <w:pStyle w:val="ListParagraph"/>
        <w:numPr>
          <w:ilvl w:val="0"/>
          <w:numId w:val="2"/>
        </w:numPr>
        <w:spacing w:after="118"/>
      </w:pPr>
      <w:r>
        <w:t>Leads stakeholder initiatives, forums and engagement</w:t>
      </w:r>
      <w:r w:rsidR="00920CB9">
        <w:t xml:space="preserve"> activities</w:t>
      </w:r>
      <w:r>
        <w:t xml:space="preserve"> with industry,</w:t>
      </w:r>
      <w:r w:rsidR="00920CB9">
        <w:t xml:space="preserve"> local government,</w:t>
      </w:r>
      <w:r>
        <w:t xml:space="preserve"> business and community networks to </w:t>
      </w:r>
      <w:r w:rsidR="00A448F4">
        <w:t xml:space="preserve">inform program direction, understand key issues, </w:t>
      </w:r>
      <w:r w:rsidR="00920CB9" w:rsidRPr="00920CB9">
        <w:t>gather insights, and prepare updates for the Premier and Parliamentary Secretary.</w:t>
      </w:r>
    </w:p>
    <w:p w14:paraId="217E0FA7" w14:textId="21583B8A" w:rsidR="004954D5" w:rsidRDefault="004954D5" w:rsidP="00920CB9">
      <w:pPr>
        <w:pStyle w:val="ListParagraph"/>
        <w:numPr>
          <w:ilvl w:val="0"/>
          <w:numId w:val="2"/>
        </w:numPr>
        <w:spacing w:after="118"/>
      </w:pPr>
      <w:r>
        <w:t xml:space="preserve">Leads </w:t>
      </w:r>
      <w:r w:rsidRPr="004954D5">
        <w:t xml:space="preserve">a small project team responsible for project management, budget management, </w:t>
      </w:r>
      <w:r w:rsidR="0011128E">
        <w:t xml:space="preserve">procurement, </w:t>
      </w:r>
      <w:r w:rsidRPr="004954D5">
        <w:t>development of grant rounds, and liaison with key government and non</w:t>
      </w:r>
      <w:r w:rsidRPr="004954D5">
        <w:rPr>
          <w:rFonts w:ascii="Cambria Math" w:hAnsi="Cambria Math" w:cs="Cambria Math"/>
        </w:rPr>
        <w:t>‑</w:t>
      </w:r>
      <w:r w:rsidRPr="004954D5">
        <w:t>government partners. Provides guidance and oversight for stakeholder engagement, program communications and secretariat services for bicentenary governance group</w:t>
      </w:r>
      <w:r>
        <w:t>s.</w:t>
      </w:r>
    </w:p>
    <w:p w14:paraId="61ACC240" w14:textId="02B9BE5C" w:rsidR="004954D5" w:rsidRDefault="0011128E" w:rsidP="004954D5">
      <w:pPr>
        <w:pStyle w:val="ListParagraph"/>
        <w:numPr>
          <w:ilvl w:val="0"/>
          <w:numId w:val="2"/>
        </w:numPr>
        <w:spacing w:after="118"/>
      </w:pPr>
      <w:r>
        <w:t>Su</w:t>
      </w:r>
      <w:r w:rsidR="004954D5">
        <w:t xml:space="preserve">pports the Bicentenary Planning Advisory Group, working closely with the Parliamentary Secretary to scope, refine and present recommendations to Cabinet on </w:t>
      </w:r>
      <w:r w:rsidR="004954D5">
        <w:lastRenderedPageBreak/>
        <w:t xml:space="preserve">State bicentenary themes and the design of an appropriate grants pool for </w:t>
      </w:r>
      <w:r>
        <w:t>l</w:t>
      </w:r>
      <w:r w:rsidR="004954D5">
        <w:t xml:space="preserve">ocal </w:t>
      </w:r>
      <w:r>
        <w:t>g</w:t>
      </w:r>
      <w:r w:rsidR="004954D5">
        <w:t>overnments, non</w:t>
      </w:r>
      <w:r w:rsidR="004954D5">
        <w:rPr>
          <w:rFonts w:ascii="Cambria Math" w:hAnsi="Cambria Math" w:cs="Cambria Math"/>
        </w:rPr>
        <w:t>‑</w:t>
      </w:r>
      <w:r w:rsidR="004954D5">
        <w:t xml:space="preserve">government organisations and State </w:t>
      </w:r>
      <w:r>
        <w:t>g</w:t>
      </w:r>
      <w:r w:rsidR="004954D5">
        <w:t>overnment agencies for commemorative programs or capital works.</w:t>
      </w:r>
    </w:p>
    <w:p w14:paraId="3BA50AC9" w14:textId="77777777" w:rsidR="004954D5" w:rsidRDefault="004954D5" w:rsidP="004954D5">
      <w:pPr>
        <w:pStyle w:val="ListParagraph"/>
        <w:numPr>
          <w:ilvl w:val="0"/>
          <w:numId w:val="2"/>
        </w:numPr>
        <w:spacing w:after="118"/>
      </w:pPr>
      <w:r>
        <w:t>Prepares high</w:t>
      </w:r>
      <w:r>
        <w:rPr>
          <w:rFonts w:ascii="Cambria Math" w:hAnsi="Cambria Math" w:cs="Cambria Math"/>
        </w:rPr>
        <w:t>‑</w:t>
      </w:r>
      <w:r>
        <w:t>level Cabinet submissions, briefing notes and reporting material to support Cabinet considerations, intergovernmental briefings and program approvals.</w:t>
      </w:r>
    </w:p>
    <w:p w14:paraId="41CEDD70" w14:textId="459B8C53" w:rsidR="004954D5" w:rsidRDefault="004954D5" w:rsidP="004954D5">
      <w:pPr>
        <w:pStyle w:val="ListParagraph"/>
        <w:numPr>
          <w:ilvl w:val="0"/>
          <w:numId w:val="2"/>
        </w:numPr>
        <w:spacing w:after="118"/>
      </w:pPr>
      <w:r>
        <w:t>Assesses and manages program risk, including cultural, reputational and strategic risks associated with planning a complex and sensitive anniversary. Ensures meticulous planning to support respectful recognition of WA’s history; embeds robust and transparent governance frameworks to manage stakeholder expectations; and addresses public interest, scrutiny and sensitivities.</w:t>
      </w:r>
    </w:p>
    <w:p w14:paraId="1AABDB92" w14:textId="77777777" w:rsidR="004954D5" w:rsidRDefault="004954D5" w:rsidP="004954D5">
      <w:pPr>
        <w:pStyle w:val="ListParagraph"/>
        <w:numPr>
          <w:ilvl w:val="0"/>
          <w:numId w:val="2"/>
        </w:numPr>
        <w:spacing w:after="118"/>
      </w:pPr>
      <w:r>
        <w:t>Ensures structured engagement with key stakeholder groups, including consultation with the Aboriginal Advisory Council, Aboriginal</w:t>
      </w:r>
      <w:r>
        <w:rPr>
          <w:rFonts w:ascii="Cambria Math" w:hAnsi="Cambria Math" w:cs="Cambria Math"/>
        </w:rPr>
        <w:t>‑</w:t>
      </w:r>
      <w:r>
        <w:t>led organisations and other representative bodies to ensure culturally informed and respectful planning.</w:t>
      </w:r>
    </w:p>
    <w:p w14:paraId="231D50D2" w14:textId="7B2ED84A" w:rsidR="004954D5" w:rsidRDefault="004954D5" w:rsidP="004954D5">
      <w:pPr>
        <w:pStyle w:val="ListParagraph"/>
        <w:numPr>
          <w:ilvl w:val="0"/>
          <w:numId w:val="2"/>
        </w:numPr>
        <w:spacing w:after="118"/>
      </w:pPr>
      <w:r>
        <w:t>Represents the Department as required in high</w:t>
      </w:r>
      <w:r>
        <w:rPr>
          <w:rFonts w:ascii="Cambria Math" w:hAnsi="Cambria Math" w:cs="Cambria Math"/>
        </w:rPr>
        <w:t>‑</w:t>
      </w:r>
      <w:r>
        <w:t>level forums, interagency meetings, public events and stakeholder engagement processes</w:t>
      </w:r>
      <w:r w:rsidR="00451FCC">
        <w:t>.</w:t>
      </w:r>
    </w:p>
    <w:p w14:paraId="40368C9F" w14:textId="3380E798" w:rsidR="00D0094B" w:rsidRDefault="00FB572F">
      <w:pPr>
        <w:pStyle w:val="Heading1"/>
        <w:spacing w:after="151"/>
        <w:ind w:left="-5"/>
      </w:pPr>
      <w:r>
        <w:rPr>
          <w:color w:val="C24F2D"/>
        </w:rPr>
        <w:t xml:space="preserve">Corporate Responsibilities </w:t>
      </w:r>
    </w:p>
    <w:p w14:paraId="7403BCED" w14:textId="77777777" w:rsidR="002D5438" w:rsidRPr="00796E74" w:rsidRDefault="002D5438" w:rsidP="002D5438">
      <w:pPr>
        <w:pStyle w:val="ListParagraph"/>
        <w:numPr>
          <w:ilvl w:val="0"/>
          <w:numId w:val="3"/>
        </w:numPr>
        <w:spacing w:after="120" w:line="240" w:lineRule="auto"/>
        <w:ind w:left="360" w:hanging="360"/>
        <w:contextualSpacing w:val="0"/>
        <w:rPr>
          <w:color w:val="auto"/>
          <w:szCs w:val="24"/>
        </w:rPr>
      </w:pPr>
      <w:r w:rsidRPr="00796E74">
        <w:rPr>
          <w:color w:val="auto"/>
          <w:szCs w:val="24"/>
        </w:rPr>
        <w:t>Exhibits accountability, professional integrity and respect consistent with DPC Values, the Code of Conduct, and the public sector Code of Ethics.</w:t>
      </w:r>
    </w:p>
    <w:p w14:paraId="4E73B8D9" w14:textId="77777777" w:rsidR="002D5438" w:rsidRDefault="002D5438" w:rsidP="002D5438">
      <w:pPr>
        <w:pStyle w:val="ListParagraph"/>
        <w:numPr>
          <w:ilvl w:val="0"/>
          <w:numId w:val="3"/>
        </w:numPr>
        <w:spacing w:after="120" w:line="240" w:lineRule="auto"/>
        <w:ind w:left="360" w:hanging="360"/>
        <w:contextualSpacing w:val="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8873446" w14:textId="77777777" w:rsidR="002D5438" w:rsidRDefault="002D5438" w:rsidP="002D5438">
      <w:pPr>
        <w:pStyle w:val="ListParagraph"/>
        <w:numPr>
          <w:ilvl w:val="0"/>
          <w:numId w:val="3"/>
        </w:numPr>
        <w:spacing w:after="120" w:line="240" w:lineRule="auto"/>
        <w:ind w:left="360" w:hanging="360"/>
        <w:contextualSpacing w:val="0"/>
        <w:rPr>
          <w:color w:val="auto"/>
          <w:szCs w:val="24"/>
        </w:rPr>
      </w:pPr>
      <w:r w:rsidRPr="0098212A">
        <w:rPr>
          <w:color w:val="auto"/>
          <w:szCs w:val="24"/>
        </w:rPr>
        <w:t>Undertakes other duties as required.</w:t>
      </w:r>
    </w:p>
    <w:p w14:paraId="6ADF9095" w14:textId="77777777" w:rsidR="00037D5B" w:rsidRPr="00037D5B" w:rsidRDefault="00037D5B" w:rsidP="00037D5B">
      <w:pPr>
        <w:spacing w:before="240" w:line="240" w:lineRule="auto"/>
        <w:ind w:left="0" w:firstLine="0"/>
        <w:rPr>
          <w:rFonts w:eastAsiaTheme="majorEastAsia" w:cs="Times New Roman (Headings CS)"/>
          <w:b/>
          <w:color w:val="CC5733"/>
        </w:rPr>
      </w:pPr>
      <w:r w:rsidRPr="00037D5B">
        <w:rPr>
          <w:rFonts w:eastAsiaTheme="majorEastAsia" w:cs="Times New Roman (Headings CS)"/>
          <w:b/>
          <w:color w:val="CC5733"/>
        </w:rPr>
        <w:t>Building Leadership Impact</w:t>
      </w:r>
    </w:p>
    <w:p w14:paraId="1DBA8756" w14:textId="252428E1" w:rsidR="00037D5B" w:rsidRPr="00957200" w:rsidRDefault="00037D5B" w:rsidP="00037D5B">
      <w:pPr>
        <w:autoSpaceDE w:val="0"/>
        <w:autoSpaceDN w:val="0"/>
        <w:adjustRightInd w:val="0"/>
        <w:spacing w:before="120" w:after="120" w:line="240" w:lineRule="auto"/>
        <w:ind w:left="0" w:firstLine="0"/>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8" w:history="1">
        <w:r w:rsidRPr="00037D5B">
          <w:rPr>
            <w:rStyle w:val="Hyperlink"/>
            <w:color w:val="6AA388"/>
          </w:rPr>
          <w:t>Building Leadership Impact</w:t>
        </w:r>
      </w:hyperlink>
      <w:r w:rsidRPr="00957200">
        <w:t xml:space="preserve"> and described fully in </w:t>
      </w:r>
      <w:hyperlink r:id="rId9" w:history="1">
        <w:r w:rsidRPr="00037D5B">
          <w:rPr>
            <w:rStyle w:val="Hyperlink"/>
            <w:color w:val="6AA388"/>
          </w:rPr>
          <w:t>Leadership Expectations</w:t>
        </w:r>
      </w:hyperlink>
      <w:r w:rsidRPr="00957200">
        <w:t xml:space="preserve">. The leadership context of this position is </w:t>
      </w:r>
      <w:hyperlink r:id="rId10" w:history="1">
        <w:r w:rsidRPr="00037D5B">
          <w:rPr>
            <w:rStyle w:val="Hyperlink"/>
            <w:color w:val="6AA388"/>
          </w:rPr>
          <w:t xml:space="preserve">Leading </w:t>
        </w:r>
        <w:r w:rsidR="002175A6">
          <w:rPr>
            <w:rStyle w:val="Hyperlink"/>
            <w:color w:val="6AA388"/>
          </w:rPr>
          <w:t>Leaders</w:t>
        </w:r>
      </w:hyperlink>
      <w:r w:rsidRPr="00957200">
        <w:t xml:space="preserve"> and there are opportunities for professional development and growth</w:t>
      </w:r>
      <w:r w:rsidRPr="00037D5B">
        <w:rPr>
          <w:color w:val="000000"/>
        </w:rPr>
        <w:t>.</w:t>
      </w:r>
    </w:p>
    <w:p w14:paraId="28C3FA97" w14:textId="77777777" w:rsidR="00EE3702" w:rsidRDefault="00EE3702">
      <w:pPr>
        <w:spacing w:after="151" w:line="259" w:lineRule="auto"/>
        <w:ind w:left="-5"/>
        <w:rPr>
          <w:b/>
          <w:color w:val="C24F2D"/>
        </w:rPr>
      </w:pPr>
    </w:p>
    <w:p w14:paraId="4CC07E18" w14:textId="06F965D3" w:rsidR="00D0094B" w:rsidRDefault="00FB572F">
      <w:pPr>
        <w:spacing w:after="151" w:line="259" w:lineRule="auto"/>
        <w:ind w:left="-5"/>
      </w:pPr>
      <w:r>
        <w:rPr>
          <w:b/>
          <w:color w:val="C24F2D"/>
        </w:rPr>
        <w:t xml:space="preserve">Work Related Capabilities (Selection Criteria) </w:t>
      </w:r>
    </w:p>
    <w:p w14:paraId="0FB2485F" w14:textId="77777777" w:rsidR="00D0094B" w:rsidRDefault="00FB572F">
      <w:pPr>
        <w:spacing w:after="150" w:line="259" w:lineRule="auto"/>
        <w:ind w:left="-5"/>
        <w:rPr>
          <w:b/>
        </w:rPr>
      </w:pPr>
      <w:r>
        <w:rPr>
          <w:b/>
        </w:rPr>
        <w:t xml:space="preserve">Essential: </w:t>
      </w:r>
    </w:p>
    <w:p w14:paraId="0404F642" w14:textId="6A005315" w:rsidR="00CC7B79" w:rsidRDefault="00083F81" w:rsidP="000F06B5">
      <w:pPr>
        <w:pStyle w:val="ListParagraph"/>
        <w:numPr>
          <w:ilvl w:val="0"/>
          <w:numId w:val="8"/>
        </w:numPr>
        <w:ind w:left="360"/>
      </w:pPr>
      <w:r>
        <w:t xml:space="preserve">Extensive experience leading end-to-end planning, governance and delivery of large scale, high-profile events with state-wide reach with </w:t>
      </w:r>
      <w:r w:rsidR="00D731A5" w:rsidRPr="00CC7B79">
        <w:t>proven ability to undertake long</w:t>
      </w:r>
      <w:r w:rsidR="00D731A5" w:rsidRPr="00CC7B79">
        <w:noBreakHyphen/>
        <w:t>range strategic planning</w:t>
      </w:r>
      <w:r w:rsidR="00C07852">
        <w:t>, shape program direction, and deliver</w:t>
      </w:r>
      <w:r w:rsidR="00D731A5" w:rsidRPr="00CC7B79">
        <w:t xml:space="preserve"> policy and strategic outcomes in a complex</w:t>
      </w:r>
      <w:r w:rsidR="006808ED">
        <w:t xml:space="preserve"> and high-profile</w:t>
      </w:r>
      <w:r w:rsidR="00D731A5" w:rsidRPr="00CC7B79">
        <w:t xml:space="preserve"> operating environment.</w:t>
      </w:r>
    </w:p>
    <w:p w14:paraId="67CA8CF2" w14:textId="77777777" w:rsidR="00CC7B79" w:rsidRPr="00CC7B79" w:rsidRDefault="00CC7B79" w:rsidP="000F06B5">
      <w:pPr>
        <w:pStyle w:val="ListParagraph"/>
        <w:ind w:left="360" w:firstLine="0"/>
      </w:pPr>
    </w:p>
    <w:p w14:paraId="4311E302" w14:textId="76293C54" w:rsidR="00CC7B79" w:rsidRDefault="00D234FB" w:rsidP="000F06B5">
      <w:pPr>
        <w:pStyle w:val="ListParagraph"/>
        <w:numPr>
          <w:ilvl w:val="0"/>
          <w:numId w:val="8"/>
        </w:numPr>
        <w:spacing w:after="0"/>
        <w:ind w:left="360"/>
      </w:pPr>
      <w:r>
        <w:t xml:space="preserve">Experience with and or knowledge of </w:t>
      </w:r>
      <w:r w:rsidR="00D731A5" w:rsidRPr="00CC7B79">
        <w:t xml:space="preserve">Cabinet </w:t>
      </w:r>
      <w:r w:rsidR="004016F1">
        <w:t>and executive government processes</w:t>
      </w:r>
      <w:r w:rsidR="006808ED">
        <w:t xml:space="preserve">, </w:t>
      </w:r>
      <w:r w:rsidR="00D731A5" w:rsidRPr="00CC7B79">
        <w:t>i</w:t>
      </w:r>
      <w:r w:rsidR="00896F09" w:rsidRPr="00896F09">
        <w:t>ncluding the preparation of Cabinet submissions and reporting, together with strong capability in program assurance, financial stewardship, and oversight of significant budgets and funding frameworks.</w:t>
      </w:r>
    </w:p>
    <w:p w14:paraId="1D933C67" w14:textId="77777777" w:rsidR="00CC7B79" w:rsidRPr="00CC7B79" w:rsidRDefault="00CC7B79" w:rsidP="000F06B5">
      <w:pPr>
        <w:spacing w:after="0"/>
        <w:ind w:left="-462" w:firstLine="0"/>
      </w:pPr>
    </w:p>
    <w:p w14:paraId="1BA75B1B" w14:textId="70A09D39" w:rsidR="00D4608D" w:rsidRDefault="00D731A5" w:rsidP="000F06B5">
      <w:pPr>
        <w:pStyle w:val="ListParagraph"/>
        <w:numPr>
          <w:ilvl w:val="0"/>
          <w:numId w:val="8"/>
        </w:numPr>
        <w:spacing w:after="0"/>
        <w:ind w:left="360"/>
      </w:pPr>
      <w:r w:rsidRPr="00CC7B79">
        <w:lastRenderedPageBreak/>
        <w:t xml:space="preserve">Proven </w:t>
      </w:r>
      <w:r w:rsidR="004016F1">
        <w:t>capability in high level</w:t>
      </w:r>
      <w:r w:rsidRPr="00CC7B79">
        <w:t xml:space="preserve"> stakeholder</w:t>
      </w:r>
      <w:r w:rsidR="004016F1">
        <w:t xml:space="preserve"> management</w:t>
      </w:r>
      <w:r w:rsidRPr="00CC7B79">
        <w:t xml:space="preserve"> across government and external sectors, </w:t>
      </w:r>
      <w:r w:rsidR="004016F1" w:rsidRPr="00CC7B79">
        <w:t>cultural institutions, local governments, sponsors and community organisations to achieve measurable and meaningful outcomes.</w:t>
      </w:r>
    </w:p>
    <w:p w14:paraId="3C55E85B" w14:textId="77777777" w:rsidR="00D4608D" w:rsidRPr="00CC7B79" w:rsidRDefault="00D4608D" w:rsidP="000F06B5">
      <w:pPr>
        <w:spacing w:after="0"/>
        <w:ind w:left="-462" w:firstLine="0"/>
      </w:pPr>
    </w:p>
    <w:p w14:paraId="0B34AB37" w14:textId="72A8BABC" w:rsidR="00D731A5" w:rsidRPr="00CC7B79" w:rsidRDefault="00D731A5" w:rsidP="000F06B5">
      <w:pPr>
        <w:pStyle w:val="ListParagraph"/>
        <w:numPr>
          <w:ilvl w:val="0"/>
          <w:numId w:val="8"/>
        </w:numPr>
        <w:ind w:left="360"/>
      </w:pPr>
      <w:r w:rsidRPr="00CC7B79">
        <w:t>Exceptional communication, interpersonal and negotiation skills, with the ability to build and maintain trusted relationships and convey complex information clearly and persuasively to stakeholders at all levels, including Ministers, senior executives and community leaders.</w:t>
      </w:r>
    </w:p>
    <w:p w14:paraId="3E3760DA" w14:textId="1DA2566E" w:rsidR="00B07EB1" w:rsidRPr="00CE1A26" w:rsidRDefault="00B07EB1" w:rsidP="00CE1A26">
      <w:pPr>
        <w:spacing w:after="150" w:line="259" w:lineRule="auto"/>
        <w:ind w:left="345" w:firstLine="0"/>
        <w:rPr>
          <w:b/>
        </w:rPr>
      </w:pPr>
    </w:p>
    <w:p w14:paraId="15A696CA" w14:textId="77777777" w:rsidR="00D0094B" w:rsidRDefault="00FB572F">
      <w:pPr>
        <w:pStyle w:val="Heading2"/>
        <w:ind w:left="-5"/>
      </w:pPr>
      <w:r>
        <w:t xml:space="preserve">Pre-Employment Requirements </w:t>
      </w:r>
    </w:p>
    <w:p w14:paraId="32F372F7" w14:textId="77777777" w:rsidR="00D0094B" w:rsidRPr="00B57114" w:rsidRDefault="00FB572F" w:rsidP="00B57114">
      <w:pPr>
        <w:ind w:left="0" w:firstLine="0"/>
      </w:pPr>
      <w:r w:rsidRPr="00B57114">
        <w:t>You must be eligible to live and work in Australia indefinitely.  Employees engaged on fixed term appointments require a valid work visa for the duration of their contract.</w:t>
      </w:r>
    </w:p>
    <w:p w14:paraId="408E2E52" w14:textId="77777777" w:rsidR="00D0094B" w:rsidRDefault="00FB572F" w:rsidP="00B57114">
      <w:pPr>
        <w:ind w:left="0" w:firstLine="0"/>
      </w:pPr>
      <w:r w:rsidRPr="00B57114">
        <w:t>Appointment is also dependant on a 100-point identification check and National Criminal Record</w:t>
      </w:r>
      <w:r>
        <w:t xml:space="preserve"> Screening Clearance.</w:t>
      </w:r>
    </w:p>
    <w:p w14:paraId="7978BD3F" w14:textId="77777777" w:rsidR="00B57114" w:rsidRDefault="00B57114" w:rsidP="00B57114">
      <w:pPr>
        <w:ind w:left="0" w:firstLine="0"/>
      </w:pPr>
    </w:p>
    <w:p w14:paraId="2993C94C" w14:textId="77777777" w:rsidR="00D0094B" w:rsidRDefault="00FB572F">
      <w:pPr>
        <w:pStyle w:val="Heading2"/>
        <w:spacing w:after="275"/>
        <w:ind w:left="112"/>
      </w:pPr>
      <w:r>
        <w:t>Certification</w:t>
      </w:r>
    </w:p>
    <w:p w14:paraId="259E235B" w14:textId="19246697" w:rsidR="00D0094B" w:rsidRDefault="00D011C6">
      <w:pPr>
        <w:tabs>
          <w:tab w:val="center" w:pos="5806"/>
        </w:tabs>
        <w:spacing w:after="0" w:line="259" w:lineRule="auto"/>
        <w:ind w:left="0" w:firstLine="0"/>
      </w:pPr>
      <w:r>
        <w:rPr>
          <w:b/>
        </w:rPr>
        <w:t xml:space="preserve">  </w:t>
      </w:r>
      <w:r w:rsidR="00FB572F">
        <w:rPr>
          <w:b/>
        </w:rPr>
        <w:t>Authorising Signature:</w:t>
      </w:r>
      <w:r w:rsidR="00FB572F">
        <w:rPr>
          <w:b/>
        </w:rPr>
        <w:tab/>
        <w:t>People Services:</w:t>
      </w:r>
    </w:p>
    <w:p w14:paraId="3EBF1D1F" w14:textId="7CD1D73F" w:rsidR="00D0094B" w:rsidRDefault="00D0094B">
      <w:pPr>
        <w:spacing w:after="250" w:line="259" w:lineRule="auto"/>
        <w:ind w:left="150" w:firstLine="0"/>
      </w:pPr>
    </w:p>
    <w:tbl>
      <w:tblPr>
        <w:tblStyle w:val="TableGrid"/>
        <w:tblW w:w="5366" w:type="dxa"/>
        <w:tblInd w:w="102" w:type="dxa"/>
        <w:tblLook w:val="04A0" w:firstRow="1" w:lastRow="0" w:firstColumn="1" w:lastColumn="0" w:noHBand="0" w:noVBand="1"/>
      </w:tblPr>
      <w:tblGrid>
        <w:gridCol w:w="4790"/>
        <w:gridCol w:w="576"/>
      </w:tblGrid>
      <w:tr w:rsidR="00D0094B" w14:paraId="1467B174" w14:textId="77777777">
        <w:trPr>
          <w:trHeight w:val="212"/>
        </w:trPr>
        <w:tc>
          <w:tcPr>
            <w:tcW w:w="4801" w:type="dxa"/>
            <w:tcBorders>
              <w:top w:val="nil"/>
              <w:left w:val="nil"/>
              <w:bottom w:val="nil"/>
              <w:right w:val="nil"/>
            </w:tcBorders>
          </w:tcPr>
          <w:p w14:paraId="44CCF78B" w14:textId="77777777" w:rsidR="00D0094B" w:rsidRDefault="00FB572F">
            <w:pPr>
              <w:spacing w:after="0" w:line="259" w:lineRule="auto"/>
              <w:ind w:left="0" w:firstLine="0"/>
            </w:pPr>
            <w:r>
              <w:rPr>
                <w:b/>
              </w:rPr>
              <w:t>Date:</w:t>
            </w:r>
          </w:p>
        </w:tc>
        <w:tc>
          <w:tcPr>
            <w:tcW w:w="565" w:type="dxa"/>
            <w:tcBorders>
              <w:top w:val="nil"/>
              <w:left w:val="nil"/>
              <w:bottom w:val="nil"/>
              <w:right w:val="nil"/>
            </w:tcBorders>
          </w:tcPr>
          <w:p w14:paraId="06415BB4" w14:textId="27D6EB66" w:rsidR="00D0094B" w:rsidRDefault="00FB572F">
            <w:pPr>
              <w:spacing w:after="0" w:line="259" w:lineRule="auto"/>
              <w:ind w:left="0" w:firstLine="0"/>
              <w:jc w:val="both"/>
            </w:pPr>
            <w:r>
              <w:rPr>
                <w:b/>
              </w:rPr>
              <w:t>Date:</w:t>
            </w:r>
          </w:p>
        </w:tc>
      </w:tr>
    </w:tbl>
    <w:p w14:paraId="690F774B" w14:textId="77777777" w:rsidR="00FB572F" w:rsidRDefault="00FB572F"/>
    <w:sectPr w:rsidR="00FB572F" w:rsidSect="00920C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D5EA" w14:textId="77777777" w:rsidR="006A6AE2" w:rsidRDefault="006A6AE2">
      <w:pPr>
        <w:spacing w:after="0" w:line="240" w:lineRule="auto"/>
      </w:pPr>
      <w:r>
        <w:separator/>
      </w:r>
    </w:p>
  </w:endnote>
  <w:endnote w:type="continuationSeparator" w:id="0">
    <w:p w14:paraId="56834282" w14:textId="77777777" w:rsidR="006A6AE2" w:rsidRDefault="006A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4C0B" w14:textId="77777777" w:rsidR="00D0094B" w:rsidRDefault="00FB572F">
    <w:pPr>
      <w:spacing w:after="0" w:line="259" w:lineRule="auto"/>
      <w:ind w:left="-1533" w:right="10736" w:firstLine="0"/>
    </w:pPr>
    <w:r>
      <w:rPr>
        <w:noProof/>
      </w:rPr>
      <w:drawing>
        <wp:anchor distT="0" distB="0" distL="114300" distR="114300" simplePos="0" relativeHeight="251660288" behindDoc="0" locked="0" layoutInCell="1" allowOverlap="0" wp14:anchorId="688BE40D" wp14:editId="59B8B0E5">
          <wp:simplePos x="0" y="0"/>
          <wp:positionH relativeFrom="page">
            <wp:posOffset>4108909</wp:posOffset>
          </wp:positionH>
          <wp:positionV relativeFrom="page">
            <wp:posOffset>9319268</wp:posOffset>
          </wp:positionV>
          <wp:extent cx="3337560" cy="737616"/>
          <wp:effectExtent l="0" t="0" r="0" b="0"/>
          <wp:wrapSquare wrapText="bothSides"/>
          <wp:docPr id="75781927" name="Picture 75781927"/>
          <wp:cNvGraphicFramePr/>
          <a:graphic xmlns:a="http://schemas.openxmlformats.org/drawingml/2006/main">
            <a:graphicData uri="http://schemas.openxmlformats.org/drawingml/2006/picture">
              <pic:pic xmlns:pic="http://schemas.openxmlformats.org/drawingml/2006/picture">
                <pic:nvPicPr>
                  <pic:cNvPr id="2031" name="Picture 2031"/>
                  <pic:cNvPicPr/>
                </pic:nvPicPr>
                <pic:blipFill>
                  <a:blip r:embed="rId1"/>
                  <a:stretch>
                    <a:fillRect/>
                  </a:stretch>
                </pic:blipFill>
                <pic:spPr>
                  <a:xfrm>
                    <a:off x="0" y="0"/>
                    <a:ext cx="3337560" cy="73761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3713" w14:textId="77777777" w:rsidR="00D0094B" w:rsidRDefault="00FB572F">
    <w:pPr>
      <w:spacing w:after="0" w:line="259" w:lineRule="auto"/>
      <w:ind w:left="-1533" w:right="10736" w:firstLine="0"/>
    </w:pPr>
    <w:r>
      <w:rPr>
        <w:noProof/>
      </w:rPr>
      <w:drawing>
        <wp:anchor distT="0" distB="0" distL="114300" distR="114300" simplePos="0" relativeHeight="251661312" behindDoc="0" locked="0" layoutInCell="1" allowOverlap="0" wp14:anchorId="1D6729CB" wp14:editId="19BB1A1B">
          <wp:simplePos x="0" y="0"/>
          <wp:positionH relativeFrom="page">
            <wp:posOffset>4108909</wp:posOffset>
          </wp:positionH>
          <wp:positionV relativeFrom="page">
            <wp:posOffset>9319268</wp:posOffset>
          </wp:positionV>
          <wp:extent cx="3337560" cy="737616"/>
          <wp:effectExtent l="0" t="0" r="0" b="0"/>
          <wp:wrapSquare wrapText="bothSides"/>
          <wp:docPr id="1747095026" name="Picture 1747095026"/>
          <wp:cNvGraphicFramePr/>
          <a:graphic xmlns:a="http://schemas.openxmlformats.org/drawingml/2006/main">
            <a:graphicData uri="http://schemas.openxmlformats.org/drawingml/2006/picture">
              <pic:pic xmlns:pic="http://schemas.openxmlformats.org/drawingml/2006/picture">
                <pic:nvPicPr>
                  <pic:cNvPr id="2031" name="Picture 2031"/>
                  <pic:cNvPicPr/>
                </pic:nvPicPr>
                <pic:blipFill>
                  <a:blip r:embed="rId1"/>
                  <a:stretch>
                    <a:fillRect/>
                  </a:stretch>
                </pic:blipFill>
                <pic:spPr>
                  <a:xfrm>
                    <a:off x="0" y="0"/>
                    <a:ext cx="3337560" cy="73761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D9A3" w14:textId="77777777" w:rsidR="00D0094B" w:rsidRDefault="00D0094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BA2E" w14:textId="77777777" w:rsidR="006A6AE2" w:rsidRDefault="006A6AE2">
      <w:pPr>
        <w:spacing w:after="0" w:line="240" w:lineRule="auto"/>
      </w:pPr>
      <w:r>
        <w:separator/>
      </w:r>
    </w:p>
  </w:footnote>
  <w:footnote w:type="continuationSeparator" w:id="0">
    <w:p w14:paraId="54CC1796" w14:textId="77777777" w:rsidR="006A6AE2" w:rsidRDefault="006A6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6A23" w14:textId="77777777" w:rsidR="00D0094B" w:rsidRDefault="00FB572F">
    <w:pPr>
      <w:spacing w:after="0" w:line="259" w:lineRule="auto"/>
      <w:ind w:left="-1533" w:right="10736" w:firstLine="0"/>
    </w:pPr>
    <w:r>
      <w:rPr>
        <w:noProof/>
      </w:rPr>
      <w:drawing>
        <wp:anchor distT="0" distB="0" distL="114300" distR="114300" simplePos="0" relativeHeight="251658240" behindDoc="0" locked="0" layoutInCell="1" allowOverlap="0" wp14:anchorId="513F2CA2" wp14:editId="7FA01724">
          <wp:simplePos x="0" y="0"/>
          <wp:positionH relativeFrom="page">
            <wp:posOffset>4050956</wp:posOffset>
          </wp:positionH>
          <wp:positionV relativeFrom="page">
            <wp:posOffset>597</wp:posOffset>
          </wp:positionV>
          <wp:extent cx="3395472" cy="710184"/>
          <wp:effectExtent l="0" t="0" r="0" b="0"/>
          <wp:wrapSquare wrapText="bothSides"/>
          <wp:docPr id="2035722409" name="Picture 2035722409"/>
          <wp:cNvGraphicFramePr/>
          <a:graphic xmlns:a="http://schemas.openxmlformats.org/drawingml/2006/main">
            <a:graphicData uri="http://schemas.openxmlformats.org/drawingml/2006/picture">
              <pic:pic xmlns:pic="http://schemas.openxmlformats.org/drawingml/2006/picture">
                <pic:nvPicPr>
                  <pic:cNvPr id="2022" name="Picture 2022"/>
                  <pic:cNvPicPr/>
                </pic:nvPicPr>
                <pic:blipFill>
                  <a:blip r:embed="rId1"/>
                  <a:stretch>
                    <a:fillRect/>
                  </a:stretch>
                </pic:blipFill>
                <pic:spPr>
                  <a:xfrm>
                    <a:off x="0" y="0"/>
                    <a:ext cx="3395472" cy="7101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C8D1" w14:textId="77777777" w:rsidR="00D0094B" w:rsidRDefault="00FB572F">
    <w:pPr>
      <w:spacing w:after="0" w:line="259" w:lineRule="auto"/>
      <w:ind w:left="-1533" w:right="10736" w:firstLine="0"/>
    </w:pPr>
    <w:r>
      <w:rPr>
        <w:noProof/>
      </w:rPr>
      <w:drawing>
        <wp:anchor distT="0" distB="0" distL="114300" distR="114300" simplePos="0" relativeHeight="251659264" behindDoc="0" locked="0" layoutInCell="1" allowOverlap="0" wp14:anchorId="3BA4CD8B" wp14:editId="3C6E24F0">
          <wp:simplePos x="0" y="0"/>
          <wp:positionH relativeFrom="page">
            <wp:posOffset>4050956</wp:posOffset>
          </wp:positionH>
          <wp:positionV relativeFrom="page">
            <wp:posOffset>597</wp:posOffset>
          </wp:positionV>
          <wp:extent cx="3395472" cy="710184"/>
          <wp:effectExtent l="0" t="0" r="0" b="0"/>
          <wp:wrapSquare wrapText="bothSides"/>
          <wp:docPr id="1354077093" name="Picture 1354077093"/>
          <wp:cNvGraphicFramePr/>
          <a:graphic xmlns:a="http://schemas.openxmlformats.org/drawingml/2006/main">
            <a:graphicData uri="http://schemas.openxmlformats.org/drawingml/2006/picture">
              <pic:pic xmlns:pic="http://schemas.openxmlformats.org/drawingml/2006/picture">
                <pic:nvPicPr>
                  <pic:cNvPr id="2022" name="Picture 2022"/>
                  <pic:cNvPicPr/>
                </pic:nvPicPr>
                <pic:blipFill>
                  <a:blip r:embed="rId1"/>
                  <a:stretch>
                    <a:fillRect/>
                  </a:stretch>
                </pic:blipFill>
                <pic:spPr>
                  <a:xfrm>
                    <a:off x="0" y="0"/>
                    <a:ext cx="3395472" cy="71018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6F39" w14:textId="64E7D660" w:rsidR="00D0094B" w:rsidRDefault="00DD53C4">
    <w:pPr>
      <w:spacing w:after="160" w:line="259" w:lineRule="auto"/>
      <w:ind w:left="0" w:firstLine="0"/>
    </w:pPr>
    <w:r>
      <w:rPr>
        <w:noProof/>
      </w:rPr>
      <w:drawing>
        <wp:anchor distT="0" distB="0" distL="114300" distR="114300" simplePos="0" relativeHeight="251663360" behindDoc="0" locked="0" layoutInCell="1" allowOverlap="0" wp14:anchorId="2D18111E" wp14:editId="1EC12144">
          <wp:simplePos x="0" y="0"/>
          <wp:positionH relativeFrom="page">
            <wp:posOffset>29794</wp:posOffset>
          </wp:positionH>
          <wp:positionV relativeFrom="page">
            <wp:posOffset>11125</wp:posOffset>
          </wp:positionV>
          <wp:extent cx="7715572" cy="1550823"/>
          <wp:effectExtent l="0" t="0" r="0" b="0"/>
          <wp:wrapTopAndBottom/>
          <wp:docPr id="1961021721" name="Picture 1961021721"/>
          <wp:cNvGraphicFramePr/>
          <a:graphic xmlns:a="http://schemas.openxmlformats.org/drawingml/2006/main">
            <a:graphicData uri="http://schemas.openxmlformats.org/drawingml/2006/picture">
              <pic:pic xmlns:pic="http://schemas.openxmlformats.org/drawingml/2006/picture">
                <pic:nvPicPr>
                  <pic:cNvPr id="2706" name="Picture 2706"/>
                  <pic:cNvPicPr/>
                </pic:nvPicPr>
                <pic:blipFill>
                  <a:blip r:embed="rId1"/>
                  <a:stretch>
                    <a:fillRect/>
                  </a:stretch>
                </pic:blipFill>
                <pic:spPr>
                  <a:xfrm>
                    <a:off x="0" y="0"/>
                    <a:ext cx="7715572" cy="15508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85C0C"/>
    <w:multiLevelType w:val="hybridMultilevel"/>
    <w:tmpl w:val="7654C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FE2111F"/>
    <w:multiLevelType w:val="hybridMultilevel"/>
    <w:tmpl w:val="07D4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200059"/>
    <w:multiLevelType w:val="hybridMultilevel"/>
    <w:tmpl w:val="01D484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FA208C1"/>
    <w:multiLevelType w:val="hybridMultilevel"/>
    <w:tmpl w:val="2EAAB23C"/>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5" w15:restartNumberingAfterBreak="0">
    <w:nsid w:val="60A32316"/>
    <w:multiLevelType w:val="hybridMultilevel"/>
    <w:tmpl w:val="99C0E1F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5A92BBA"/>
    <w:multiLevelType w:val="hybridMultilevel"/>
    <w:tmpl w:val="8C76F47E"/>
    <w:lvl w:ilvl="0" w:tplc="0C09000F">
      <w:start w:val="1"/>
      <w:numFmt w:val="decimal"/>
      <w:lvlText w:val="%1."/>
      <w:lvlJc w:val="left"/>
      <w:pPr>
        <w:ind w:left="822" w:hanging="360"/>
      </w:pPr>
    </w:lvl>
    <w:lvl w:ilvl="1" w:tplc="0C090019" w:tentative="1">
      <w:start w:val="1"/>
      <w:numFmt w:val="lowerLetter"/>
      <w:lvlText w:val="%2."/>
      <w:lvlJc w:val="left"/>
      <w:pPr>
        <w:ind w:left="1542" w:hanging="360"/>
      </w:pPr>
    </w:lvl>
    <w:lvl w:ilvl="2" w:tplc="0C09001B" w:tentative="1">
      <w:start w:val="1"/>
      <w:numFmt w:val="lowerRoman"/>
      <w:lvlText w:val="%3."/>
      <w:lvlJc w:val="right"/>
      <w:pPr>
        <w:ind w:left="2262" w:hanging="180"/>
      </w:pPr>
    </w:lvl>
    <w:lvl w:ilvl="3" w:tplc="0C09000F" w:tentative="1">
      <w:start w:val="1"/>
      <w:numFmt w:val="decimal"/>
      <w:lvlText w:val="%4."/>
      <w:lvlJc w:val="left"/>
      <w:pPr>
        <w:ind w:left="2982" w:hanging="360"/>
      </w:pPr>
    </w:lvl>
    <w:lvl w:ilvl="4" w:tplc="0C090019" w:tentative="1">
      <w:start w:val="1"/>
      <w:numFmt w:val="lowerLetter"/>
      <w:lvlText w:val="%5."/>
      <w:lvlJc w:val="left"/>
      <w:pPr>
        <w:ind w:left="3702" w:hanging="360"/>
      </w:pPr>
    </w:lvl>
    <w:lvl w:ilvl="5" w:tplc="0C09001B" w:tentative="1">
      <w:start w:val="1"/>
      <w:numFmt w:val="lowerRoman"/>
      <w:lvlText w:val="%6."/>
      <w:lvlJc w:val="right"/>
      <w:pPr>
        <w:ind w:left="4422" w:hanging="180"/>
      </w:pPr>
    </w:lvl>
    <w:lvl w:ilvl="6" w:tplc="0C09000F" w:tentative="1">
      <w:start w:val="1"/>
      <w:numFmt w:val="decimal"/>
      <w:lvlText w:val="%7."/>
      <w:lvlJc w:val="left"/>
      <w:pPr>
        <w:ind w:left="5142" w:hanging="360"/>
      </w:pPr>
    </w:lvl>
    <w:lvl w:ilvl="7" w:tplc="0C090019" w:tentative="1">
      <w:start w:val="1"/>
      <w:numFmt w:val="lowerLetter"/>
      <w:lvlText w:val="%8."/>
      <w:lvlJc w:val="left"/>
      <w:pPr>
        <w:ind w:left="5862" w:hanging="360"/>
      </w:pPr>
    </w:lvl>
    <w:lvl w:ilvl="8" w:tplc="0C09001B" w:tentative="1">
      <w:start w:val="1"/>
      <w:numFmt w:val="lowerRoman"/>
      <w:lvlText w:val="%9."/>
      <w:lvlJc w:val="right"/>
      <w:pPr>
        <w:ind w:left="6582" w:hanging="180"/>
      </w:pPr>
    </w:lvl>
  </w:abstractNum>
  <w:abstractNum w:abstractNumId="7"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668601152">
    <w:abstractNumId w:val="1"/>
  </w:num>
  <w:num w:numId="2" w16cid:durableId="1644384502">
    <w:abstractNumId w:val="0"/>
  </w:num>
  <w:num w:numId="3" w16cid:durableId="1341004227">
    <w:abstractNumId w:val="2"/>
  </w:num>
  <w:num w:numId="4" w16cid:durableId="221062535">
    <w:abstractNumId w:val="4"/>
  </w:num>
  <w:num w:numId="5" w16cid:durableId="1667249357">
    <w:abstractNumId w:val="7"/>
  </w:num>
  <w:num w:numId="6" w16cid:durableId="835269787">
    <w:abstractNumId w:val="5"/>
  </w:num>
  <w:num w:numId="7" w16cid:durableId="604733043">
    <w:abstractNumId w:val="3"/>
  </w:num>
  <w:num w:numId="8" w16cid:durableId="2106417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4B"/>
    <w:rsid w:val="00002048"/>
    <w:rsid w:val="00030D14"/>
    <w:rsid w:val="00037D5B"/>
    <w:rsid w:val="00083F81"/>
    <w:rsid w:val="000A0B54"/>
    <w:rsid w:val="000B5140"/>
    <w:rsid w:val="000B5C01"/>
    <w:rsid w:val="000D4647"/>
    <w:rsid w:val="000D4F0C"/>
    <w:rsid w:val="000E4967"/>
    <w:rsid w:val="000F06B5"/>
    <w:rsid w:val="001041A5"/>
    <w:rsid w:val="0011128E"/>
    <w:rsid w:val="00132F1B"/>
    <w:rsid w:val="00141386"/>
    <w:rsid w:val="001562DD"/>
    <w:rsid w:val="00161FB3"/>
    <w:rsid w:val="00173B56"/>
    <w:rsid w:val="00184E75"/>
    <w:rsid w:val="00195C72"/>
    <w:rsid w:val="001B4E8C"/>
    <w:rsid w:val="001E7EFB"/>
    <w:rsid w:val="00206007"/>
    <w:rsid w:val="00215E7D"/>
    <w:rsid w:val="002175A6"/>
    <w:rsid w:val="00222C58"/>
    <w:rsid w:val="00223DA4"/>
    <w:rsid w:val="0023062D"/>
    <w:rsid w:val="00256FC1"/>
    <w:rsid w:val="00282A0C"/>
    <w:rsid w:val="002B77C5"/>
    <w:rsid w:val="002C671B"/>
    <w:rsid w:val="002D5438"/>
    <w:rsid w:val="003579B2"/>
    <w:rsid w:val="00362C31"/>
    <w:rsid w:val="00365E8A"/>
    <w:rsid w:val="00371E01"/>
    <w:rsid w:val="003835CF"/>
    <w:rsid w:val="003A29EB"/>
    <w:rsid w:val="003A65DC"/>
    <w:rsid w:val="003B4C34"/>
    <w:rsid w:val="003B5CBD"/>
    <w:rsid w:val="003E1324"/>
    <w:rsid w:val="003F2D54"/>
    <w:rsid w:val="004016F1"/>
    <w:rsid w:val="0040718C"/>
    <w:rsid w:val="004142EE"/>
    <w:rsid w:val="00426F38"/>
    <w:rsid w:val="004346C4"/>
    <w:rsid w:val="00436DC7"/>
    <w:rsid w:val="004403BC"/>
    <w:rsid w:val="00446BD8"/>
    <w:rsid w:val="00451FCC"/>
    <w:rsid w:val="004553E4"/>
    <w:rsid w:val="004954D5"/>
    <w:rsid w:val="004A30A7"/>
    <w:rsid w:val="004A67CF"/>
    <w:rsid w:val="004B31D7"/>
    <w:rsid w:val="004E2C94"/>
    <w:rsid w:val="004E4A6E"/>
    <w:rsid w:val="0051103E"/>
    <w:rsid w:val="005142BD"/>
    <w:rsid w:val="0052122A"/>
    <w:rsid w:val="005235FB"/>
    <w:rsid w:val="00536EC7"/>
    <w:rsid w:val="00546138"/>
    <w:rsid w:val="00557B97"/>
    <w:rsid w:val="00584AA2"/>
    <w:rsid w:val="005C2862"/>
    <w:rsid w:val="005D1D81"/>
    <w:rsid w:val="00602AA9"/>
    <w:rsid w:val="00606E87"/>
    <w:rsid w:val="006529B9"/>
    <w:rsid w:val="00663E82"/>
    <w:rsid w:val="006808ED"/>
    <w:rsid w:val="006818C1"/>
    <w:rsid w:val="00691BAE"/>
    <w:rsid w:val="006A466F"/>
    <w:rsid w:val="006A6AE2"/>
    <w:rsid w:val="006B4CA5"/>
    <w:rsid w:val="006C0685"/>
    <w:rsid w:val="006F165A"/>
    <w:rsid w:val="00710E63"/>
    <w:rsid w:val="007168AD"/>
    <w:rsid w:val="0074710F"/>
    <w:rsid w:val="00752FB5"/>
    <w:rsid w:val="00782610"/>
    <w:rsid w:val="00797CE6"/>
    <w:rsid w:val="007D3B00"/>
    <w:rsid w:val="007E4A19"/>
    <w:rsid w:val="007F4DF9"/>
    <w:rsid w:val="00801FBD"/>
    <w:rsid w:val="00815478"/>
    <w:rsid w:val="00840752"/>
    <w:rsid w:val="0086406D"/>
    <w:rsid w:val="00882937"/>
    <w:rsid w:val="00896F09"/>
    <w:rsid w:val="008A1C9B"/>
    <w:rsid w:val="008A4921"/>
    <w:rsid w:val="008B645A"/>
    <w:rsid w:val="008D4ACC"/>
    <w:rsid w:val="008F3800"/>
    <w:rsid w:val="00920CB9"/>
    <w:rsid w:val="00924CC6"/>
    <w:rsid w:val="00932423"/>
    <w:rsid w:val="00946996"/>
    <w:rsid w:val="00952BAD"/>
    <w:rsid w:val="00977F4C"/>
    <w:rsid w:val="00985A48"/>
    <w:rsid w:val="009864C0"/>
    <w:rsid w:val="00990783"/>
    <w:rsid w:val="009A34B2"/>
    <w:rsid w:val="009A49E3"/>
    <w:rsid w:val="009B5E89"/>
    <w:rsid w:val="009D27F1"/>
    <w:rsid w:val="009E0C61"/>
    <w:rsid w:val="00A20C2B"/>
    <w:rsid w:val="00A448F4"/>
    <w:rsid w:val="00A62B54"/>
    <w:rsid w:val="00A67B6E"/>
    <w:rsid w:val="00A842B9"/>
    <w:rsid w:val="00A93D26"/>
    <w:rsid w:val="00AE7E3A"/>
    <w:rsid w:val="00B02885"/>
    <w:rsid w:val="00B07EB1"/>
    <w:rsid w:val="00B13F0D"/>
    <w:rsid w:val="00B203EC"/>
    <w:rsid w:val="00B26E7A"/>
    <w:rsid w:val="00B41AB3"/>
    <w:rsid w:val="00B47526"/>
    <w:rsid w:val="00B476F1"/>
    <w:rsid w:val="00B57114"/>
    <w:rsid w:val="00B62C13"/>
    <w:rsid w:val="00B73AAB"/>
    <w:rsid w:val="00BB0356"/>
    <w:rsid w:val="00BD66EC"/>
    <w:rsid w:val="00BF7C69"/>
    <w:rsid w:val="00C01B78"/>
    <w:rsid w:val="00C07852"/>
    <w:rsid w:val="00C12EB7"/>
    <w:rsid w:val="00C15599"/>
    <w:rsid w:val="00C44072"/>
    <w:rsid w:val="00C44952"/>
    <w:rsid w:val="00C560FE"/>
    <w:rsid w:val="00C8197C"/>
    <w:rsid w:val="00C84E02"/>
    <w:rsid w:val="00C95187"/>
    <w:rsid w:val="00CB214B"/>
    <w:rsid w:val="00CC7B79"/>
    <w:rsid w:val="00CE1A26"/>
    <w:rsid w:val="00CE3E2B"/>
    <w:rsid w:val="00CE4E16"/>
    <w:rsid w:val="00D0094B"/>
    <w:rsid w:val="00D011C6"/>
    <w:rsid w:val="00D069A8"/>
    <w:rsid w:val="00D234FB"/>
    <w:rsid w:val="00D32A1F"/>
    <w:rsid w:val="00D4608D"/>
    <w:rsid w:val="00D549C3"/>
    <w:rsid w:val="00D731A5"/>
    <w:rsid w:val="00D807A8"/>
    <w:rsid w:val="00D85825"/>
    <w:rsid w:val="00DC67B6"/>
    <w:rsid w:val="00DD30C1"/>
    <w:rsid w:val="00DD53C4"/>
    <w:rsid w:val="00DF0C23"/>
    <w:rsid w:val="00E11B18"/>
    <w:rsid w:val="00E44564"/>
    <w:rsid w:val="00E47D57"/>
    <w:rsid w:val="00E529AA"/>
    <w:rsid w:val="00E623C2"/>
    <w:rsid w:val="00E66356"/>
    <w:rsid w:val="00E7023D"/>
    <w:rsid w:val="00E724C9"/>
    <w:rsid w:val="00EB29B8"/>
    <w:rsid w:val="00EB399C"/>
    <w:rsid w:val="00EB5C45"/>
    <w:rsid w:val="00EB6BCE"/>
    <w:rsid w:val="00EC1658"/>
    <w:rsid w:val="00EC5A18"/>
    <w:rsid w:val="00EE3702"/>
    <w:rsid w:val="00F114EB"/>
    <w:rsid w:val="00F546D1"/>
    <w:rsid w:val="00F5602E"/>
    <w:rsid w:val="00F5743F"/>
    <w:rsid w:val="00F90478"/>
    <w:rsid w:val="00F909A7"/>
    <w:rsid w:val="00F94488"/>
    <w:rsid w:val="00FB51AC"/>
    <w:rsid w:val="00FB572F"/>
    <w:rsid w:val="00FD6D88"/>
    <w:rsid w:val="00FF3FD6"/>
    <w:rsid w:val="00FF7B1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0BAB4"/>
  <w15:docId w15:val="{9EA33E54-EE29-4703-9030-7A71DC91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0" w:lineRule="auto"/>
      <w:ind w:left="112" w:hanging="10"/>
    </w:pPr>
    <w:rPr>
      <w:rFonts w:ascii="Arial" w:eastAsia="Arial" w:hAnsi="Arial" w:cs="Arial"/>
      <w:color w:val="181717"/>
      <w:sz w:val="23"/>
    </w:rPr>
  </w:style>
  <w:style w:type="paragraph" w:styleId="Heading1">
    <w:name w:val="heading 1"/>
    <w:next w:val="Normal"/>
    <w:link w:val="Heading1Char"/>
    <w:uiPriority w:val="9"/>
    <w:qFormat/>
    <w:pPr>
      <w:keepNext/>
      <w:keepLines/>
      <w:spacing w:after="150" w:line="259" w:lineRule="auto"/>
      <w:ind w:left="10" w:hanging="10"/>
      <w:outlineLvl w:val="0"/>
    </w:pPr>
    <w:rPr>
      <w:rFonts w:ascii="Arial" w:eastAsia="Arial" w:hAnsi="Arial" w:cs="Arial"/>
      <w:b/>
      <w:color w:val="181717"/>
      <w:sz w:val="23"/>
    </w:rPr>
  </w:style>
  <w:style w:type="paragraph" w:styleId="Heading2">
    <w:name w:val="heading 2"/>
    <w:next w:val="Normal"/>
    <w:link w:val="Heading2Char"/>
    <w:uiPriority w:val="9"/>
    <w:unhideWhenUsed/>
    <w:qFormat/>
    <w:pPr>
      <w:keepNext/>
      <w:keepLines/>
      <w:spacing w:after="151" w:line="259" w:lineRule="auto"/>
      <w:ind w:left="10" w:hanging="10"/>
      <w:outlineLvl w:val="1"/>
    </w:pPr>
    <w:rPr>
      <w:rFonts w:ascii="Arial" w:eastAsia="Arial" w:hAnsi="Arial" w:cs="Arial"/>
      <w:b/>
      <w:color w:val="C24F2D"/>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81717"/>
      <w:sz w:val="23"/>
    </w:rPr>
  </w:style>
  <w:style w:type="character" w:customStyle="1" w:styleId="Heading2Char">
    <w:name w:val="Heading 2 Char"/>
    <w:link w:val="Heading2"/>
    <w:rPr>
      <w:rFonts w:ascii="Arial" w:eastAsia="Arial" w:hAnsi="Arial" w:cs="Arial"/>
      <w:b/>
      <w:color w:val="C24F2D"/>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DPC List Paragraph P"/>
    <w:basedOn w:val="Normal"/>
    <w:uiPriority w:val="34"/>
    <w:qFormat/>
    <w:rsid w:val="001562DD"/>
    <w:pPr>
      <w:ind w:left="720"/>
      <w:contextualSpacing/>
    </w:pPr>
    <w:rPr>
      <w:rFonts w:cs="Cordia New"/>
    </w:rPr>
  </w:style>
  <w:style w:type="character" w:styleId="Hyperlink">
    <w:name w:val="Hyperlink"/>
    <w:uiPriority w:val="99"/>
    <w:unhideWhenUsed/>
    <w:rsid w:val="00037D5B"/>
    <w:rPr>
      <w:rFonts w:ascii="Arial" w:hAnsi="Arial"/>
      <w:b w:val="0"/>
      <w:i w:val="0"/>
      <w:color w:val="6AA489"/>
      <w:sz w:val="24"/>
      <w:u w:val="single"/>
    </w:rPr>
  </w:style>
  <w:style w:type="character" w:styleId="CommentReference">
    <w:name w:val="annotation reference"/>
    <w:basedOn w:val="DefaultParagraphFont"/>
    <w:uiPriority w:val="99"/>
    <w:semiHidden/>
    <w:unhideWhenUsed/>
    <w:rsid w:val="00037D5B"/>
    <w:rPr>
      <w:sz w:val="16"/>
      <w:szCs w:val="16"/>
    </w:rPr>
  </w:style>
  <w:style w:type="paragraph" w:styleId="CommentText">
    <w:name w:val="annotation text"/>
    <w:basedOn w:val="Normal"/>
    <w:link w:val="CommentTextChar"/>
    <w:uiPriority w:val="99"/>
    <w:unhideWhenUsed/>
    <w:rsid w:val="00037D5B"/>
    <w:pPr>
      <w:spacing w:after="160" w:line="240" w:lineRule="auto"/>
      <w:ind w:left="0" w:firstLine="0"/>
    </w:pPr>
    <w:rPr>
      <w:rFonts w:eastAsiaTheme="minorHAnsi"/>
      <w:color w:val="auto"/>
      <w:kern w:val="0"/>
      <w:sz w:val="20"/>
      <w:szCs w:val="20"/>
      <w:lang w:eastAsia="en-US" w:bidi="ar-SA"/>
      <w14:ligatures w14:val="none"/>
    </w:rPr>
  </w:style>
  <w:style w:type="character" w:customStyle="1" w:styleId="CommentTextChar">
    <w:name w:val="Comment Text Char"/>
    <w:basedOn w:val="DefaultParagraphFont"/>
    <w:link w:val="CommentText"/>
    <w:uiPriority w:val="99"/>
    <w:rsid w:val="00037D5B"/>
    <w:rPr>
      <w:rFonts w:ascii="Arial" w:eastAsiaTheme="minorHAnsi" w:hAnsi="Arial" w:cs="Arial"/>
      <w:kern w:val="0"/>
      <w:sz w:val="20"/>
      <w:szCs w:val="20"/>
      <w:lang w:eastAsia="en-US" w:bidi="ar-SA"/>
      <w14:ligatures w14:val="none"/>
    </w:rPr>
  </w:style>
  <w:style w:type="character" w:styleId="FollowedHyperlink">
    <w:name w:val="FollowedHyperlink"/>
    <w:basedOn w:val="DefaultParagraphFont"/>
    <w:uiPriority w:val="99"/>
    <w:semiHidden/>
    <w:unhideWhenUsed/>
    <w:rsid w:val="002D5438"/>
    <w:rPr>
      <w:color w:val="96607D" w:themeColor="followedHyperlink"/>
      <w:u w:val="single"/>
    </w:rPr>
  </w:style>
  <w:style w:type="paragraph" w:styleId="Revision">
    <w:name w:val="Revision"/>
    <w:hidden/>
    <w:uiPriority w:val="99"/>
    <w:semiHidden/>
    <w:rsid w:val="0051103E"/>
    <w:pPr>
      <w:spacing w:after="0" w:line="240" w:lineRule="auto"/>
    </w:pPr>
    <w:rPr>
      <w:rFonts w:ascii="Arial" w:eastAsia="Arial" w:hAnsi="Arial" w:cs="Cordia New"/>
      <w:color w:val="181717"/>
      <w:sz w:val="23"/>
    </w:rPr>
  </w:style>
  <w:style w:type="table" w:styleId="TableGrid0">
    <w:name w:val="Table Grid"/>
    <w:basedOn w:val="TableNormal"/>
    <w:uiPriority w:val="39"/>
    <w:rsid w:val="006818C1"/>
    <w:pPr>
      <w:spacing w:after="0" w:line="240" w:lineRule="auto"/>
    </w:pPr>
    <w:rPr>
      <w:rFonts w:eastAsiaTheme="minorHAnsi"/>
      <w:kern w:val="0"/>
      <w:szCs w:val="24"/>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elds">
    <w:name w:val="Form fields"/>
    <w:basedOn w:val="Normal"/>
    <w:qFormat/>
    <w:rsid w:val="006818C1"/>
    <w:pPr>
      <w:framePr w:hSpace="180" w:wrap="around" w:vAnchor="text" w:hAnchor="text" w:y="1"/>
      <w:autoSpaceDE w:val="0"/>
      <w:autoSpaceDN w:val="0"/>
      <w:adjustRightInd w:val="0"/>
      <w:spacing w:after="0" w:line="240" w:lineRule="auto"/>
      <w:ind w:left="0" w:firstLine="0"/>
      <w:suppressOverlap/>
    </w:pPr>
    <w:rPr>
      <w:rFonts w:eastAsiaTheme="minorHAnsi" w:cs="Neue Haas Grotesk Text Pro"/>
      <w:color w:val="CC5733"/>
      <w:kern w:val="0"/>
      <w:sz w:val="24"/>
      <w:szCs w:val="24"/>
      <w:lang w:val="en-GB" w:eastAsia="en-US" w:bidi="ar-SA"/>
      <w14:ligatures w14:val="none"/>
    </w:rPr>
  </w:style>
  <w:style w:type="paragraph" w:styleId="CommentSubject">
    <w:name w:val="annotation subject"/>
    <w:basedOn w:val="CommentText"/>
    <w:next w:val="CommentText"/>
    <w:link w:val="CommentSubjectChar"/>
    <w:uiPriority w:val="99"/>
    <w:semiHidden/>
    <w:unhideWhenUsed/>
    <w:rsid w:val="000B5140"/>
    <w:pPr>
      <w:spacing w:after="158"/>
      <w:ind w:left="112" w:hanging="10"/>
    </w:pPr>
    <w:rPr>
      <w:rFonts w:eastAsia="Arial" w:cs="Cordia New"/>
      <w:b/>
      <w:bCs/>
      <w:color w:val="181717"/>
      <w:kern w:val="2"/>
      <w:szCs w:val="25"/>
      <w:lang w:eastAsia="zh-CN" w:bidi="th-TH"/>
      <w14:ligatures w14:val="standardContextual"/>
    </w:rPr>
  </w:style>
  <w:style w:type="character" w:customStyle="1" w:styleId="CommentSubjectChar">
    <w:name w:val="Comment Subject Char"/>
    <w:basedOn w:val="CommentTextChar"/>
    <w:link w:val="CommentSubject"/>
    <w:uiPriority w:val="99"/>
    <w:semiHidden/>
    <w:rsid w:val="000B5140"/>
    <w:rPr>
      <w:rFonts w:ascii="Arial" w:eastAsia="Arial" w:hAnsi="Arial" w:cs="Cordia New"/>
      <w:b/>
      <w:bCs/>
      <w:color w:val="181717"/>
      <w:kern w:val="0"/>
      <w:sz w:val="20"/>
      <w:szCs w:val="25"/>
      <w:lang w:eastAsia="en-US" w:bidi="ar-SA"/>
      <w14:ligatures w14:val="none"/>
    </w:rPr>
  </w:style>
  <w:style w:type="paragraph" w:styleId="NormalWeb">
    <w:name w:val="Normal (Web)"/>
    <w:basedOn w:val="Normal"/>
    <w:uiPriority w:val="99"/>
    <w:semiHidden/>
    <w:unhideWhenUsed/>
    <w:rsid w:val="00D731A5"/>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lang w:eastAsia="en-AU" w:bidi="ar-SA"/>
      <w14:ligatures w14:val="none"/>
    </w:rPr>
  </w:style>
  <w:style w:type="character" w:styleId="Strong">
    <w:name w:val="Strong"/>
    <w:basedOn w:val="DefaultParagraphFont"/>
    <w:uiPriority w:val="22"/>
    <w:qFormat/>
    <w:rsid w:val="00D73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a.gov.au/organisation/public-sector-commission/building-leadership-impac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a.gov.au/government/document-collections/leading-leaders" TargetMode="External"/><Relationship Id="rId4" Type="http://schemas.openxmlformats.org/officeDocument/2006/relationships/webSettings" Target="webSettings.xml"/><Relationship Id="rId9" Type="http://schemas.openxmlformats.org/officeDocument/2006/relationships/hyperlink" Target="https://www.wa.gov.au/organisation/public-sector-commission/leadership-expectation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1174</Words>
  <Characters>7710</Characters>
  <Application>Microsoft Office Word</Application>
  <DocSecurity>0</DocSecurity>
  <Lines>141</Lines>
  <Paragraphs>50</Paragraphs>
  <ScaleCrop>false</ScaleCrop>
  <HeadingPairs>
    <vt:vector size="2" baseType="variant">
      <vt:variant>
        <vt:lpstr>Title</vt:lpstr>
      </vt:variant>
      <vt:variant>
        <vt:i4>1</vt:i4>
      </vt:variant>
    </vt:vector>
  </HeadingPairs>
  <TitlesOfParts>
    <vt:vector size="1" baseType="lpstr">
      <vt:lpstr>W26002492  Director, Collie Delivery Unit, Class 1 (Position DPCT3736).PDF</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W26002492  Director, Collie Delivery Unit, Class 1 (Position DPCT3736).PDF</dc:title>
  <dc:subject/>
  <dc:creator>Monteiro, Gwen</dc:creator>
  <cp:keywords/>
  <cp:lastModifiedBy>Monger, Phil</cp:lastModifiedBy>
  <cp:revision>6</cp:revision>
  <cp:lastPrinted>2026-03-17T01:28:00Z</cp:lastPrinted>
  <dcterms:created xsi:type="dcterms:W3CDTF">2026-02-02T08:31:00Z</dcterms:created>
  <dcterms:modified xsi:type="dcterms:W3CDTF">2026-03-17T01:29:00Z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2026-01-19T07:12:23Z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35223e30-c3d0-4d64-92ae-5a1842b67125</vt:lpwstr>
  </property>
  <property fmtid="{D5CDD505-2E9C-101B-9397-08002B2CF9AE}" pid="8" name="MSIP_Label_116cf7cf-4bad-475a-a557-f71d08d59046_ContentBits">
    <vt:lpwstr>0</vt:lpwstr>
  </property>
  <property fmtid="{D5CDD505-2E9C-101B-9397-08002B2CF9AE}" pid="9" name="MSIP_Label_116cf7cf-4bad-475a-a557-f71d08d59046_Tag">
    <vt:lpwstr>10, 3, 0, 1</vt:lpwstr>
  </property>
  <property fmtid="{D5CDD505-2E9C-101B-9397-08002B2CF9AE}" pid="10" name="_AdHocReviewCycleID">
    <vt:i4>1605946684</vt:i4>
  </property>
  <property fmtid="{D5CDD505-2E9C-101B-9397-08002B2CF9AE}" pid="11" name="_NewReviewCycle">
    <vt:lpwstr/>
  </property>
  <property fmtid="{D5CDD505-2E9C-101B-9397-08002B2CF9AE}" pid="12" name="_EmailSubject">
    <vt:lpwstr>Class 1 Bicentenary submission to the PSC</vt:lpwstr>
  </property>
  <property fmtid="{D5CDD505-2E9C-101B-9397-08002B2CF9AE}" pid="13" name="_AuthorEmail">
    <vt:lpwstr>Melissa.Ballantyne@dpc.wa.gov.au</vt:lpwstr>
  </property>
  <property fmtid="{D5CDD505-2E9C-101B-9397-08002B2CF9AE}" pid="14" name="_AuthorEmailDisplayName">
    <vt:lpwstr>Ballantyne, Melissa</vt:lpwstr>
  </property>
  <property fmtid="{D5CDD505-2E9C-101B-9397-08002B2CF9AE}" pid="15" name="_PreviousAdHocReviewCycleID">
    <vt:i4>1780950907</vt:i4>
  </property>
  <property fmtid="{D5CDD505-2E9C-101B-9397-08002B2CF9AE}" pid="16" name="_ReviewingToolsShownOnce">
    <vt:lpwstr/>
  </property>
</Properties>
</file>