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4CAF24C8" w:rsidR="004A4EC3" w:rsidRPr="00C14680" w:rsidRDefault="000D1DFE"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Senior</w:t>
      </w:r>
      <w:r w:rsidR="00F61780">
        <w:rPr>
          <w:rFonts w:eastAsiaTheme="majorEastAsia" w:cs="Times New Roman (Headings CS)"/>
          <w:b/>
          <w:color w:val="CC5733"/>
          <w:sz w:val="30"/>
          <w:szCs w:val="30"/>
        </w:rPr>
        <w:t xml:space="preserve"> Facilities Adviser</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sidR="00F61780">
        <w:rPr>
          <w:rFonts w:eastAsiaTheme="majorEastAsia" w:cs="Times New Roman (Headings CS)"/>
          <w:b/>
          <w:color w:val="CC5733"/>
          <w:sz w:val="30"/>
          <w:szCs w:val="30"/>
        </w:rPr>
        <w:t>5</w:t>
      </w:r>
      <w:r w:rsidR="004A4EC3" w:rsidRPr="00C14680">
        <w:rPr>
          <w:rFonts w:eastAsiaTheme="majorEastAsia" w:cs="Times New Roman (Headings CS)"/>
          <w:b/>
          <w:color w:val="CC5733"/>
          <w:sz w:val="30"/>
          <w:szCs w:val="30"/>
        </w:rPr>
        <w:t xml:space="preserve"> (</w:t>
      </w:r>
      <w:r w:rsidR="00F61780">
        <w:rPr>
          <w:rFonts w:eastAsiaTheme="majorEastAsia" w:cs="Times New Roman (Headings CS)"/>
          <w:b/>
          <w:color w:val="CC5733"/>
          <w:sz w:val="30"/>
          <w:szCs w:val="30"/>
        </w:rPr>
        <w:t>00161676</w:t>
      </w:r>
      <w:r w:rsidR="004A4EC3" w:rsidRPr="00C14680">
        <w:rPr>
          <w:rFonts w:eastAsiaTheme="majorEastAsia" w:cs="Times New Roman (Headings CS)"/>
          <w:b/>
          <w:color w:val="CC5733"/>
          <w:sz w:val="30"/>
          <w:szCs w:val="30"/>
        </w:rPr>
        <w:t>)</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35EFD895" w:rsidR="004A4EC3" w:rsidRPr="00D007E3" w:rsidRDefault="009514B1" w:rsidP="004A4EC3">
            <w:pPr>
              <w:pStyle w:val="Formfields"/>
              <w:framePr w:hSpace="0" w:wrap="auto" w:vAnchor="margin" w:yAlign="inline"/>
              <w:suppressOverlap w:val="0"/>
              <w:rPr>
                <w:color w:val="000000" w:themeColor="text1"/>
              </w:rPr>
            </w:pPr>
            <w:r>
              <w:t>Division/</w:t>
            </w:r>
            <w:r w:rsidR="004A4EC3" w:rsidRPr="00D007E3">
              <w:t xml:space="preserve">Directorate: </w:t>
            </w:r>
          </w:p>
        </w:tc>
        <w:tc>
          <w:tcPr>
            <w:tcW w:w="2747" w:type="dxa"/>
          </w:tcPr>
          <w:p w14:paraId="6E7A5B79" w14:textId="1F51F482" w:rsidR="004A4EC3" w:rsidRPr="00D007E3" w:rsidRDefault="004F0302" w:rsidP="004A4EC3">
            <w:r>
              <w:t>State Services</w:t>
            </w:r>
          </w:p>
        </w:tc>
        <w:tc>
          <w:tcPr>
            <w:tcW w:w="1647"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55C9264B" w:rsidR="004A4EC3" w:rsidRPr="006A1E28" w:rsidRDefault="00BD753E" w:rsidP="004A4EC3">
            <w:pPr>
              <w:rPr>
                <w:color w:val="000000" w:themeColor="text1"/>
              </w:rPr>
            </w:pPr>
            <w:r w:rsidRPr="00BD753E">
              <w:rPr>
                <w:color w:val="000000" w:themeColor="text1"/>
              </w:rPr>
              <w:t>Principal Facilities Adviser</w:t>
            </w:r>
          </w:p>
        </w:tc>
      </w:tr>
      <w:tr w:rsidR="004A4EC3" w:rsidRPr="00D007E3" w14:paraId="77F9C586" w14:textId="77777777" w:rsidTr="009514B1">
        <w:trPr>
          <w:trHeight w:val="85"/>
        </w:trPr>
        <w:tc>
          <w:tcPr>
            <w:tcW w:w="2552"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747" w:type="dxa"/>
          </w:tcPr>
          <w:p w14:paraId="2E756B84" w14:textId="20146543" w:rsidR="004A4EC3" w:rsidRPr="00D007E3" w:rsidRDefault="008404C8" w:rsidP="004A4EC3">
            <w:r>
              <w:t>People Services/Parliamentary Electorate Officer (PEO) Suppo</w:t>
            </w:r>
            <w:r w:rsidR="00774811">
              <w:t>rt and Transport Unit</w:t>
            </w:r>
          </w:p>
        </w:tc>
        <w:tc>
          <w:tcPr>
            <w:tcW w:w="1647"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0DF7CE2E" w:rsidR="004A4EC3" w:rsidRPr="006A1E28" w:rsidRDefault="006A1E28" w:rsidP="004A4EC3">
            <w:pPr>
              <w:rPr>
                <w:color w:val="000000" w:themeColor="text1"/>
              </w:rPr>
            </w:pPr>
            <w:r w:rsidRPr="006A1E28">
              <w:rPr>
                <w:color w:val="000000" w:themeColor="text1"/>
              </w:rPr>
              <w:t>Nil</w:t>
            </w:r>
            <w:r w:rsidR="004A4EC3" w:rsidRPr="006A1E28">
              <w:rPr>
                <w:color w:val="000000" w:themeColor="text1"/>
              </w:rPr>
              <w:t xml:space="preserve"> </w:t>
            </w:r>
          </w:p>
        </w:tc>
      </w:tr>
      <w:tr w:rsidR="004A4EC3" w:rsidRPr="00D007E3" w14:paraId="6BBCF80B" w14:textId="77777777" w:rsidTr="009514B1">
        <w:trPr>
          <w:trHeight w:val="434"/>
        </w:trPr>
        <w:tc>
          <w:tcPr>
            <w:tcW w:w="2552"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775F0025" w:rsidR="004A4EC3" w:rsidRPr="00D007E3" w:rsidRDefault="004E2FC6" w:rsidP="004A4EC3">
            <w:r>
              <w:t xml:space="preserve">West Perth </w:t>
            </w:r>
          </w:p>
        </w:tc>
        <w:tc>
          <w:tcPr>
            <w:tcW w:w="1647"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4A3655">
      <w:pPr>
        <w:spacing w:line="240" w:lineRule="auto"/>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E0D47">
      <w:pPr>
        <w:spacing w:line="240" w:lineRule="auto"/>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692C6C49" w14:textId="71F38795" w:rsidR="003A787A" w:rsidRPr="004A3655" w:rsidRDefault="00A00DF9" w:rsidP="004A3655">
      <w:pPr>
        <w:spacing w:line="240" w:lineRule="auto"/>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0"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7CD139CD" w14:textId="77777777" w:rsidR="00BD5BDD" w:rsidRPr="00BD5BDD" w:rsidRDefault="00BD5BDD" w:rsidP="00BD5BDD">
      <w:pPr>
        <w:pStyle w:val="Heading1"/>
        <w:rPr>
          <w:b w:val="0"/>
          <w:bCs/>
          <w:color w:val="auto"/>
          <w:sz w:val="24"/>
          <w:szCs w:val="24"/>
        </w:rPr>
      </w:pPr>
      <w:r w:rsidRPr="00BD5BDD">
        <w:rPr>
          <w:b w:val="0"/>
          <w:bCs/>
          <w:color w:val="auto"/>
          <w:sz w:val="24"/>
          <w:szCs w:val="24"/>
        </w:rPr>
        <w:t>The Parliamentary Electorate Offices (PEO) Support and Transport Unit provides support and advice to all Members of Parliament and electorate staff for the purpose of conducting their parliamentary and electorate responsibilities.</w:t>
      </w:r>
    </w:p>
    <w:p w14:paraId="01A36789" w14:textId="77777777" w:rsidR="00BD5BDD" w:rsidRPr="00BD5BDD" w:rsidRDefault="00BD5BDD" w:rsidP="00BD5BDD">
      <w:pPr>
        <w:pStyle w:val="Heading1"/>
        <w:rPr>
          <w:b w:val="0"/>
          <w:bCs/>
          <w:color w:val="auto"/>
          <w:sz w:val="24"/>
          <w:szCs w:val="24"/>
        </w:rPr>
      </w:pPr>
      <w:r w:rsidRPr="00BD5BDD">
        <w:rPr>
          <w:b w:val="0"/>
          <w:bCs/>
          <w:color w:val="auto"/>
          <w:sz w:val="24"/>
          <w:szCs w:val="24"/>
        </w:rPr>
        <w:t>The Unit also provides executive transport services to eligible office holders and is responsible for facilities management for the Department, Premier and Ministerial Offices. </w:t>
      </w:r>
    </w:p>
    <w:p w14:paraId="7D1D0209" w14:textId="551A0CAA" w:rsidR="00477E21" w:rsidRPr="00280C06" w:rsidRDefault="00A00DF9" w:rsidP="00280C06">
      <w:pPr>
        <w:pStyle w:val="Heading1"/>
        <w:rPr>
          <w:b w:val="0"/>
        </w:rPr>
      </w:pPr>
      <w:r w:rsidRPr="00280C06">
        <w:rPr>
          <w:sz w:val="24"/>
          <w:szCs w:val="24"/>
        </w:rPr>
        <w:t xml:space="preserve">About the </w:t>
      </w:r>
      <w:r w:rsidR="00756536" w:rsidRPr="00280C06">
        <w:rPr>
          <w:sz w:val="24"/>
          <w:szCs w:val="24"/>
        </w:rPr>
        <w:t>Role</w:t>
      </w:r>
      <w:r w:rsidR="00C45F38" w:rsidRPr="00280C06">
        <w:rPr>
          <w:sz w:val="24"/>
          <w:szCs w:val="24"/>
        </w:rPr>
        <w:t xml:space="preserve"> </w:t>
      </w:r>
      <w:r w:rsidR="004A4EC3" w:rsidRPr="00280C06">
        <w:rPr>
          <w:sz w:val="24"/>
          <w:szCs w:val="24"/>
        </w:rPr>
        <w:t>and Responsibilities</w:t>
      </w:r>
    </w:p>
    <w:p w14:paraId="1033373A" w14:textId="1C034C21" w:rsidR="00CB1FBC" w:rsidRDefault="00CB1FBC" w:rsidP="00CB1FBC">
      <w:r w:rsidRPr="008A28E3">
        <w:t xml:space="preserve">The Senior </w:t>
      </w:r>
      <w:r>
        <w:t xml:space="preserve">Facilities </w:t>
      </w:r>
      <w:r w:rsidRPr="008A28E3">
        <w:t xml:space="preserve">Adviser provides a comprehensive </w:t>
      </w:r>
      <w:r>
        <w:t xml:space="preserve">facilities </w:t>
      </w:r>
      <w:r w:rsidRPr="008A28E3">
        <w:t xml:space="preserve">advisory service to </w:t>
      </w:r>
      <w:r>
        <w:t xml:space="preserve">Members of Parliament (MPs) and </w:t>
      </w:r>
      <w:r w:rsidRPr="008A28E3">
        <w:t>P</w:t>
      </w:r>
      <w:r>
        <w:t xml:space="preserve">arliamentary </w:t>
      </w:r>
      <w:r w:rsidRPr="008A28E3">
        <w:t>E</w:t>
      </w:r>
      <w:r>
        <w:t xml:space="preserve">lectorate </w:t>
      </w:r>
      <w:r w:rsidRPr="008A28E3">
        <w:t>O</w:t>
      </w:r>
      <w:r>
        <w:t xml:space="preserve">ffice (PEO) staff. The position </w:t>
      </w:r>
      <w:r w:rsidRPr="008A28E3">
        <w:t xml:space="preserve">liaises with </w:t>
      </w:r>
      <w:r>
        <w:t>Department of Housing and Works (DHW) regarding PEO accommodation matters and</w:t>
      </w:r>
      <w:r w:rsidRPr="008A28E3">
        <w:t xml:space="preserve"> assist</w:t>
      </w:r>
      <w:r>
        <w:t xml:space="preserve">s </w:t>
      </w:r>
      <w:r w:rsidRPr="008A28E3">
        <w:t xml:space="preserve">the Principal </w:t>
      </w:r>
      <w:r>
        <w:t xml:space="preserve">Facilities </w:t>
      </w:r>
      <w:r w:rsidRPr="008A28E3">
        <w:t>Adviser in the management of complex matters</w:t>
      </w:r>
      <w:r>
        <w:t>.</w:t>
      </w:r>
    </w:p>
    <w:p w14:paraId="416693FE" w14:textId="77777777" w:rsidR="008B62EC" w:rsidRPr="000660E3" w:rsidRDefault="008B62EC" w:rsidP="008B62EC">
      <w:pPr>
        <w:pStyle w:val="ListParagraph"/>
        <w:numPr>
          <w:ilvl w:val="0"/>
          <w:numId w:val="19"/>
        </w:numPr>
        <w:spacing w:after="41" w:line="259" w:lineRule="auto"/>
        <w:contextualSpacing/>
        <w:jc w:val="both"/>
        <w:rPr>
          <w:bCs/>
        </w:rPr>
      </w:pPr>
      <w:r w:rsidRPr="00372DD7">
        <w:rPr>
          <w:bCs/>
        </w:rPr>
        <w:lastRenderedPageBreak/>
        <w:t>Provides a comprehensive advisory service</w:t>
      </w:r>
      <w:r w:rsidRPr="000660E3">
        <w:rPr>
          <w:bCs/>
        </w:rPr>
        <w:t xml:space="preserve"> in relation to PEO facilities matters.</w:t>
      </w:r>
    </w:p>
    <w:p w14:paraId="17484248" w14:textId="77777777" w:rsidR="008B62EC" w:rsidRPr="00372DD7" w:rsidRDefault="008B62EC" w:rsidP="008B62EC">
      <w:pPr>
        <w:pStyle w:val="ListParagraph"/>
        <w:numPr>
          <w:ilvl w:val="0"/>
          <w:numId w:val="19"/>
        </w:numPr>
        <w:spacing w:after="41" w:line="259" w:lineRule="auto"/>
        <w:contextualSpacing/>
        <w:jc w:val="both"/>
        <w:rPr>
          <w:bCs/>
        </w:rPr>
      </w:pPr>
      <w:r w:rsidRPr="00372DD7">
        <w:rPr>
          <w:bCs/>
        </w:rPr>
        <w:t>Establishes and maintains communication networks and working relationships to ensure a collaborative</w:t>
      </w:r>
    </w:p>
    <w:p w14:paraId="4A2370D0" w14:textId="77777777" w:rsidR="008B62EC" w:rsidRPr="000660E3" w:rsidRDefault="008B62EC" w:rsidP="008B62EC">
      <w:pPr>
        <w:pStyle w:val="ListParagraph"/>
        <w:spacing w:after="41" w:line="259" w:lineRule="auto"/>
        <w:ind w:left="828"/>
        <w:jc w:val="both"/>
        <w:rPr>
          <w:bCs/>
        </w:rPr>
      </w:pPr>
      <w:r w:rsidRPr="00372DD7">
        <w:rPr>
          <w:bCs/>
        </w:rPr>
        <w:t xml:space="preserve">approach between </w:t>
      </w:r>
      <w:r w:rsidRPr="000660E3">
        <w:rPr>
          <w:bCs/>
        </w:rPr>
        <w:t xml:space="preserve">the </w:t>
      </w:r>
      <w:r w:rsidRPr="00372DD7">
        <w:rPr>
          <w:bCs/>
        </w:rPr>
        <w:t>PEO Support and Transport Unit</w:t>
      </w:r>
      <w:r w:rsidRPr="000660E3">
        <w:rPr>
          <w:bCs/>
        </w:rPr>
        <w:t xml:space="preserve">, </w:t>
      </w:r>
      <w:r>
        <w:rPr>
          <w:bCs/>
        </w:rPr>
        <w:t xml:space="preserve">MPs </w:t>
      </w:r>
      <w:r w:rsidRPr="000660E3">
        <w:rPr>
          <w:bCs/>
        </w:rPr>
        <w:t>DHW</w:t>
      </w:r>
      <w:r w:rsidRPr="00372DD7">
        <w:rPr>
          <w:bCs/>
        </w:rPr>
        <w:t xml:space="preserve"> and the PEO.</w:t>
      </w:r>
      <w:r w:rsidRPr="000660E3">
        <w:t xml:space="preserve"> Includes undertaking regular visits to PEO</w:t>
      </w:r>
      <w:r>
        <w:t>s</w:t>
      </w:r>
      <w:r w:rsidRPr="000660E3">
        <w:t>.</w:t>
      </w:r>
    </w:p>
    <w:p w14:paraId="4CABBF4B" w14:textId="77777777" w:rsidR="008B62EC" w:rsidRPr="000660E3" w:rsidRDefault="008B62EC" w:rsidP="008B62EC">
      <w:pPr>
        <w:pStyle w:val="ListParagraph"/>
        <w:numPr>
          <w:ilvl w:val="0"/>
          <w:numId w:val="19"/>
        </w:numPr>
        <w:spacing w:after="0" w:line="259" w:lineRule="auto"/>
        <w:contextualSpacing/>
        <w:jc w:val="both"/>
      </w:pPr>
      <w:r w:rsidRPr="000660E3">
        <w:t>Project manages and prepares project briefs for the establishment and equipping of PEO</w:t>
      </w:r>
      <w:r>
        <w:t>s</w:t>
      </w:r>
      <w:r w:rsidRPr="000660E3">
        <w:t xml:space="preserve">, including lease negotiations, contract of building works, security system installation/maintenance and asset management.  </w:t>
      </w:r>
    </w:p>
    <w:p w14:paraId="73D67104" w14:textId="77777777" w:rsidR="008B62EC" w:rsidRPr="000660E3" w:rsidRDefault="008B62EC" w:rsidP="008B62EC">
      <w:pPr>
        <w:pStyle w:val="ListParagraph"/>
        <w:numPr>
          <w:ilvl w:val="0"/>
          <w:numId w:val="19"/>
        </w:numPr>
        <w:spacing w:after="0" w:line="259" w:lineRule="auto"/>
        <w:contextualSpacing/>
        <w:jc w:val="both"/>
      </w:pPr>
      <w:r w:rsidRPr="000660E3">
        <w:t xml:space="preserve">Manages business relationships between the Department and DHW and external contractors for the establishment of new offices including appointing, coordinating and liaising with consultants and architects. </w:t>
      </w:r>
    </w:p>
    <w:p w14:paraId="04BA9F51" w14:textId="77777777" w:rsidR="008B62EC" w:rsidRPr="000660E3" w:rsidRDefault="008B62EC" w:rsidP="008B62EC">
      <w:pPr>
        <w:pStyle w:val="ListParagraph"/>
        <w:numPr>
          <w:ilvl w:val="0"/>
          <w:numId w:val="19"/>
        </w:numPr>
        <w:spacing w:after="0" w:line="259" w:lineRule="auto"/>
        <w:contextualSpacing/>
        <w:jc w:val="both"/>
      </w:pPr>
      <w:r w:rsidRPr="000660E3">
        <w:t xml:space="preserve">Monitors and undertakes contract administration in conjunction with DHW to ensure contractor work is of an acceptable standard and completed in compliance with contract specifications and budget. </w:t>
      </w:r>
    </w:p>
    <w:p w14:paraId="067E9975" w14:textId="77777777" w:rsidR="008B62EC" w:rsidRPr="000660E3" w:rsidRDefault="008B62EC" w:rsidP="008B62EC">
      <w:pPr>
        <w:pStyle w:val="ListParagraph"/>
        <w:numPr>
          <w:ilvl w:val="0"/>
          <w:numId w:val="19"/>
        </w:numPr>
        <w:spacing w:after="0" w:line="259" w:lineRule="auto"/>
        <w:contextualSpacing/>
        <w:jc w:val="both"/>
      </w:pPr>
      <w:r w:rsidRPr="000660E3">
        <w:t xml:space="preserve">Prepares policy advice and comments on MP requests for consideration by the Director General and Premier. </w:t>
      </w:r>
    </w:p>
    <w:p w14:paraId="41D1C55E" w14:textId="77777777" w:rsidR="008B62EC" w:rsidRDefault="008B62EC" w:rsidP="008B62EC">
      <w:pPr>
        <w:pStyle w:val="ListParagraph"/>
        <w:numPr>
          <w:ilvl w:val="0"/>
          <w:numId w:val="19"/>
        </w:numPr>
        <w:spacing w:after="0" w:line="259" w:lineRule="auto"/>
        <w:contextualSpacing/>
      </w:pPr>
      <w:r w:rsidRPr="000660E3">
        <w:t>Undertakes research and projects as directed, on government accommodation and related policies and provides advice to the Manager and Director, People Services.</w:t>
      </w:r>
    </w:p>
    <w:p w14:paraId="496AA465" w14:textId="77777777" w:rsidR="00BC589A" w:rsidRPr="000660E3" w:rsidRDefault="00BC589A" w:rsidP="00BC589A">
      <w:pPr>
        <w:spacing w:after="0"/>
        <w:ind w:left="113"/>
        <w:rPr>
          <w:b/>
          <w:bCs/>
        </w:rPr>
      </w:pPr>
      <w:r w:rsidRPr="000660E3">
        <w:rPr>
          <w:b/>
          <w:bCs/>
        </w:rPr>
        <w:t>Other</w:t>
      </w:r>
      <w:r w:rsidRPr="00372DD7">
        <w:rPr>
          <w:b/>
          <w:bCs/>
        </w:rPr>
        <w:t xml:space="preserve"> </w:t>
      </w:r>
    </w:p>
    <w:p w14:paraId="5A34640A" w14:textId="77777777" w:rsidR="00BC589A" w:rsidRPr="000660E3" w:rsidRDefault="00BC589A" w:rsidP="00BC589A">
      <w:pPr>
        <w:pStyle w:val="ListParagraph"/>
        <w:numPr>
          <w:ilvl w:val="0"/>
          <w:numId w:val="19"/>
        </w:numPr>
        <w:spacing w:after="0" w:line="259" w:lineRule="auto"/>
        <w:contextualSpacing/>
      </w:pPr>
      <w:r w:rsidRPr="000660E3">
        <w:t>Contributes to the review and evaluation of existing processes to ensure they are relevant to operational</w:t>
      </w:r>
    </w:p>
    <w:p w14:paraId="26EEB56B" w14:textId="77777777" w:rsidR="00BC589A" w:rsidRPr="000660E3" w:rsidRDefault="00BC589A" w:rsidP="00BC589A">
      <w:pPr>
        <w:pStyle w:val="ListParagraph"/>
        <w:spacing w:after="0" w:line="259" w:lineRule="auto"/>
        <w:ind w:left="833"/>
      </w:pPr>
      <w:r w:rsidRPr="000660E3">
        <w:t>requirements and identify opportunities for improvement.</w:t>
      </w:r>
    </w:p>
    <w:p w14:paraId="2EB27EEC" w14:textId="77777777" w:rsidR="00BC589A" w:rsidRPr="000660E3" w:rsidRDefault="00BC589A" w:rsidP="00BC589A">
      <w:pPr>
        <w:pStyle w:val="ListParagraph"/>
        <w:numPr>
          <w:ilvl w:val="0"/>
          <w:numId w:val="19"/>
        </w:numPr>
        <w:spacing w:after="0" w:line="259" w:lineRule="auto"/>
        <w:contextualSpacing/>
      </w:pPr>
      <w:r w:rsidRPr="000660E3">
        <w:t>Mentors and supports the development and work of other officers within the team.</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Pr="0098212A"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53311947" w14:textId="18BEF484" w:rsidR="00B646FB" w:rsidRPr="00070651" w:rsidRDefault="007421AD" w:rsidP="00C47631">
      <w:pPr>
        <w:pStyle w:val="Heading2"/>
        <w:rPr>
          <w:sz w:val="24"/>
          <w:szCs w:val="24"/>
        </w:rPr>
      </w:pPr>
      <w:r>
        <w:rPr>
          <w:sz w:val="24"/>
          <w:szCs w:val="24"/>
        </w:rPr>
        <w:t>Work Related Capabilities (Selection Criteria)</w:t>
      </w:r>
    </w:p>
    <w:p w14:paraId="21753FF2" w14:textId="77777777" w:rsidR="00745580" w:rsidRPr="000660E3" w:rsidRDefault="00745580" w:rsidP="00745580">
      <w:pPr>
        <w:pStyle w:val="ListParagraph"/>
        <w:numPr>
          <w:ilvl w:val="0"/>
          <w:numId w:val="20"/>
        </w:numPr>
        <w:spacing w:after="38" w:line="259" w:lineRule="auto"/>
        <w:contextualSpacing/>
        <w:jc w:val="both"/>
      </w:pPr>
      <w:r w:rsidRPr="000660E3">
        <w:t>High level interpersonal and verbal communication skills with the ability to liaise, consult, negotiate and establish relationships with key stakeholders including</w:t>
      </w:r>
      <w:r w:rsidRPr="00372DD7">
        <w:t xml:space="preserve"> MP’s</w:t>
      </w:r>
      <w:r w:rsidRPr="000660E3">
        <w:t xml:space="preserve"> </w:t>
      </w:r>
    </w:p>
    <w:p w14:paraId="2A22E123" w14:textId="77777777" w:rsidR="00745580" w:rsidRPr="000660E3" w:rsidRDefault="00745580" w:rsidP="00745580">
      <w:pPr>
        <w:pStyle w:val="ListParagraph"/>
        <w:numPr>
          <w:ilvl w:val="0"/>
          <w:numId w:val="20"/>
        </w:numPr>
        <w:spacing w:after="38" w:line="259" w:lineRule="auto"/>
        <w:contextualSpacing/>
        <w:jc w:val="both"/>
      </w:pPr>
      <w:r w:rsidRPr="000660E3">
        <w:t xml:space="preserve">Well-developed written communication skills with the demonstrated ability to write clearly, analyse options and develop recommendations.  </w:t>
      </w:r>
    </w:p>
    <w:p w14:paraId="1723B45D" w14:textId="77777777" w:rsidR="00745580" w:rsidRPr="000660E3" w:rsidRDefault="00745580" w:rsidP="00745580">
      <w:pPr>
        <w:pStyle w:val="ListParagraph"/>
        <w:numPr>
          <w:ilvl w:val="0"/>
          <w:numId w:val="20"/>
        </w:numPr>
        <w:spacing w:after="38" w:line="259" w:lineRule="auto"/>
        <w:contextualSpacing/>
        <w:jc w:val="both"/>
      </w:pPr>
      <w:r w:rsidRPr="000660E3">
        <w:t xml:space="preserve">Well-developed organisational skills including a strong client focus and ability to provide timely, accurate and comprehensive advisory services to a diverse client group. </w:t>
      </w:r>
    </w:p>
    <w:p w14:paraId="4FCB138C" w14:textId="77777777" w:rsidR="00745580" w:rsidRPr="000660E3" w:rsidRDefault="00745580" w:rsidP="00745580">
      <w:pPr>
        <w:pStyle w:val="ListParagraph"/>
        <w:numPr>
          <w:ilvl w:val="0"/>
          <w:numId w:val="20"/>
        </w:numPr>
        <w:spacing w:after="38" w:line="259" w:lineRule="auto"/>
        <w:contextualSpacing/>
        <w:jc w:val="both"/>
      </w:pPr>
      <w:r w:rsidRPr="000660E3">
        <w:t>Well-developed conceptual, analytical and problem-solving skills, including the ability to develop innovative solutions to a broad range of issues.</w:t>
      </w:r>
    </w:p>
    <w:p w14:paraId="3CB9D1CE" w14:textId="77777777" w:rsidR="00745580" w:rsidRPr="000660E3" w:rsidRDefault="00745580" w:rsidP="00745580">
      <w:pPr>
        <w:pStyle w:val="ListParagraph"/>
        <w:numPr>
          <w:ilvl w:val="0"/>
          <w:numId w:val="20"/>
        </w:numPr>
        <w:spacing w:after="38" w:line="259" w:lineRule="auto"/>
        <w:contextualSpacing/>
        <w:jc w:val="both"/>
      </w:pPr>
      <w:r w:rsidRPr="000660E3">
        <w:t xml:space="preserve">Demonstrated ability to develop other team members through training and coaching as well as provide advice and guidance. </w:t>
      </w:r>
    </w:p>
    <w:p w14:paraId="3FB28D8C" w14:textId="77777777" w:rsidR="00745580" w:rsidRPr="000660E3" w:rsidRDefault="00745580" w:rsidP="00745580">
      <w:pPr>
        <w:spacing w:after="38"/>
      </w:pPr>
    </w:p>
    <w:p w14:paraId="3FED192A" w14:textId="77777777" w:rsidR="00745580" w:rsidRPr="00372DD7" w:rsidRDefault="00745580" w:rsidP="00745580">
      <w:pPr>
        <w:spacing w:after="38"/>
        <w:rPr>
          <w:b/>
          <w:bCs/>
        </w:rPr>
      </w:pPr>
      <w:r w:rsidRPr="00372DD7">
        <w:rPr>
          <w:b/>
          <w:bCs/>
        </w:rPr>
        <w:t xml:space="preserve">Desirable </w:t>
      </w:r>
    </w:p>
    <w:p w14:paraId="29B3BEB1" w14:textId="77777777" w:rsidR="00745580" w:rsidRPr="000660E3" w:rsidRDefault="00745580" w:rsidP="00745580">
      <w:pPr>
        <w:pStyle w:val="ListParagraph"/>
        <w:numPr>
          <w:ilvl w:val="0"/>
          <w:numId w:val="21"/>
        </w:numPr>
        <w:spacing w:after="38" w:line="259" w:lineRule="auto"/>
        <w:contextualSpacing/>
      </w:pPr>
      <w:r w:rsidRPr="000660E3">
        <w:t>Substantial relevant experience in facilities management.</w:t>
      </w:r>
    </w:p>
    <w:p w14:paraId="6FA7471E" w14:textId="77777777" w:rsidR="00745580" w:rsidRPr="000660E3" w:rsidRDefault="00745580" w:rsidP="00745580">
      <w:pPr>
        <w:pStyle w:val="ListParagraph"/>
        <w:numPr>
          <w:ilvl w:val="0"/>
          <w:numId w:val="21"/>
        </w:numPr>
        <w:spacing w:after="38" w:line="259" w:lineRule="auto"/>
        <w:contextualSpacing/>
      </w:pPr>
      <w:r w:rsidRPr="000660E3">
        <w:t>Knowledge of the legislative and procedural requirements of government policy relative to the position.</w:t>
      </w:r>
    </w:p>
    <w:p w14:paraId="5178D9AC" w14:textId="77777777" w:rsidR="0033476B" w:rsidRDefault="0033476B" w:rsidP="00C45F38"/>
    <w:p w14:paraId="268B2915" w14:textId="0D12B51B"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5A2701">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3884FF37" w14:textId="77777777" w:rsidR="004B2309" w:rsidRDefault="004B2309" w:rsidP="004B2309"/>
          <w:p w14:paraId="019B14E0" w14:textId="55D2C1C9"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33476B">
            <w:pPr>
              <w:pStyle w:val="Heading3"/>
              <w:ind w:hanging="113"/>
              <w:rPr>
                <w:sz w:val="24"/>
              </w:rPr>
            </w:pPr>
            <w:r w:rsidRPr="00070651">
              <w:rPr>
                <w:sz w:val="24"/>
              </w:rPr>
              <w:t>D</w:t>
            </w:r>
            <w:r w:rsidR="005A2701" w:rsidRPr="00070651">
              <w:rPr>
                <w:sz w:val="24"/>
              </w:rPr>
              <w:t>ate:</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1"/>
      <w:footerReference w:type="even" r:id="rId12"/>
      <w:footerReference w:type="default" r:id="rId13"/>
      <w:headerReference w:type="first" r:id="rId14"/>
      <w:footerReference w:type="first" r:id="rId15"/>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E0E6" w14:textId="77777777" w:rsidR="001C4A48" w:rsidRDefault="001C4A48" w:rsidP="00756536">
      <w:pPr>
        <w:spacing w:after="0" w:line="240" w:lineRule="auto"/>
      </w:pPr>
      <w:r>
        <w:separator/>
      </w:r>
    </w:p>
  </w:endnote>
  <w:endnote w:type="continuationSeparator" w:id="0">
    <w:p w14:paraId="374F996B" w14:textId="77777777" w:rsidR="001C4A48" w:rsidRDefault="001C4A48"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CC96" w14:textId="77777777" w:rsidR="001C4A48" w:rsidRDefault="001C4A48" w:rsidP="00756536">
      <w:pPr>
        <w:spacing w:after="0" w:line="240" w:lineRule="auto"/>
      </w:pPr>
      <w:r>
        <w:separator/>
      </w:r>
    </w:p>
  </w:footnote>
  <w:footnote w:type="continuationSeparator" w:id="0">
    <w:p w14:paraId="29639DCC" w14:textId="77777777" w:rsidR="001C4A48" w:rsidRDefault="001C4A48"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BA33EE"/>
    <w:multiLevelType w:val="hybridMultilevel"/>
    <w:tmpl w:val="EF5C2872"/>
    <w:lvl w:ilvl="0" w:tplc="DBA2508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7C4857"/>
    <w:multiLevelType w:val="hybridMultilevel"/>
    <w:tmpl w:val="9048C05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6217A4"/>
    <w:multiLevelType w:val="hybridMultilevel"/>
    <w:tmpl w:val="8154D6D2"/>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9"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5"/>
  </w:num>
  <w:num w:numId="2" w16cid:durableId="1376272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3"/>
  </w:num>
  <w:num w:numId="4" w16cid:durableId="1326056679">
    <w:abstractNumId w:val="13"/>
  </w:num>
  <w:num w:numId="5" w16cid:durableId="165638337">
    <w:abstractNumId w:val="10"/>
  </w:num>
  <w:num w:numId="6" w16cid:durableId="1123695853">
    <w:abstractNumId w:val="9"/>
  </w:num>
  <w:num w:numId="7" w16cid:durableId="1581137968">
    <w:abstractNumId w:val="2"/>
  </w:num>
  <w:num w:numId="8" w16cid:durableId="210381380">
    <w:abstractNumId w:val="4"/>
  </w:num>
  <w:num w:numId="9" w16cid:durableId="1667249357">
    <w:abstractNumId w:val="19"/>
  </w:num>
  <w:num w:numId="10" w16cid:durableId="1636334645">
    <w:abstractNumId w:val="12"/>
  </w:num>
  <w:num w:numId="11" w16cid:durableId="1816409002">
    <w:abstractNumId w:val="7"/>
  </w:num>
  <w:num w:numId="12" w16cid:durableId="1771470451">
    <w:abstractNumId w:val="8"/>
  </w:num>
  <w:num w:numId="13" w16cid:durableId="2042582278">
    <w:abstractNumId w:val="17"/>
  </w:num>
  <w:num w:numId="14" w16cid:durableId="301085470">
    <w:abstractNumId w:val="14"/>
  </w:num>
  <w:num w:numId="15" w16cid:durableId="24185399">
    <w:abstractNumId w:val="1"/>
  </w:num>
  <w:num w:numId="16" w16cid:durableId="169490687">
    <w:abstractNumId w:val="11"/>
  </w:num>
  <w:num w:numId="17" w16cid:durableId="629700953">
    <w:abstractNumId w:val="0"/>
  </w:num>
  <w:num w:numId="18" w16cid:durableId="1341004227">
    <w:abstractNumId w:val="15"/>
  </w:num>
  <w:num w:numId="19" w16cid:durableId="539125712">
    <w:abstractNumId w:val="18"/>
  </w:num>
  <w:num w:numId="20" w16cid:durableId="810057581">
    <w:abstractNumId w:val="16"/>
  </w:num>
  <w:num w:numId="21" w16cid:durableId="2126653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51CBF"/>
    <w:rsid w:val="00060BC2"/>
    <w:rsid w:val="0006478A"/>
    <w:rsid w:val="00070651"/>
    <w:rsid w:val="00083B4F"/>
    <w:rsid w:val="00094213"/>
    <w:rsid w:val="000A6FA1"/>
    <w:rsid w:val="000D0AF3"/>
    <w:rsid w:val="000D0F48"/>
    <w:rsid w:val="000D1DFE"/>
    <w:rsid w:val="00132369"/>
    <w:rsid w:val="001341B6"/>
    <w:rsid w:val="00145E44"/>
    <w:rsid w:val="001633FD"/>
    <w:rsid w:val="001744F5"/>
    <w:rsid w:val="001A50FB"/>
    <w:rsid w:val="001B27CF"/>
    <w:rsid w:val="001B52F9"/>
    <w:rsid w:val="001B54FD"/>
    <w:rsid w:val="001B7A87"/>
    <w:rsid w:val="001B7CD1"/>
    <w:rsid w:val="001C4A48"/>
    <w:rsid w:val="00204930"/>
    <w:rsid w:val="002156DB"/>
    <w:rsid w:val="002342EF"/>
    <w:rsid w:val="00246EF2"/>
    <w:rsid w:val="0024718E"/>
    <w:rsid w:val="00260B8D"/>
    <w:rsid w:val="00263C70"/>
    <w:rsid w:val="002656BC"/>
    <w:rsid w:val="00280169"/>
    <w:rsid w:val="00280C06"/>
    <w:rsid w:val="00283EB7"/>
    <w:rsid w:val="002843C7"/>
    <w:rsid w:val="002874CE"/>
    <w:rsid w:val="002937C1"/>
    <w:rsid w:val="002956EB"/>
    <w:rsid w:val="00296FEC"/>
    <w:rsid w:val="002B657B"/>
    <w:rsid w:val="002D3E24"/>
    <w:rsid w:val="002F64E9"/>
    <w:rsid w:val="00300C8A"/>
    <w:rsid w:val="0030375D"/>
    <w:rsid w:val="0033476B"/>
    <w:rsid w:val="003522C2"/>
    <w:rsid w:val="0036514A"/>
    <w:rsid w:val="00394896"/>
    <w:rsid w:val="003A12FE"/>
    <w:rsid w:val="003A3903"/>
    <w:rsid w:val="003A787A"/>
    <w:rsid w:val="003C1C26"/>
    <w:rsid w:val="003D0A66"/>
    <w:rsid w:val="00414112"/>
    <w:rsid w:val="00422282"/>
    <w:rsid w:val="00430199"/>
    <w:rsid w:val="00430D2F"/>
    <w:rsid w:val="00451463"/>
    <w:rsid w:val="00462800"/>
    <w:rsid w:val="004658EA"/>
    <w:rsid w:val="00471F7F"/>
    <w:rsid w:val="00477E21"/>
    <w:rsid w:val="00494398"/>
    <w:rsid w:val="00497F38"/>
    <w:rsid w:val="004A3655"/>
    <w:rsid w:val="004A4EC3"/>
    <w:rsid w:val="004B2309"/>
    <w:rsid w:val="004C7E95"/>
    <w:rsid w:val="004E000D"/>
    <w:rsid w:val="004E1073"/>
    <w:rsid w:val="004E2FC6"/>
    <w:rsid w:val="004F0302"/>
    <w:rsid w:val="004F457E"/>
    <w:rsid w:val="005257D4"/>
    <w:rsid w:val="00536F4B"/>
    <w:rsid w:val="0057229A"/>
    <w:rsid w:val="005A2699"/>
    <w:rsid w:val="005A2701"/>
    <w:rsid w:val="005E2416"/>
    <w:rsid w:val="005F483B"/>
    <w:rsid w:val="00601500"/>
    <w:rsid w:val="00631D31"/>
    <w:rsid w:val="00647E4B"/>
    <w:rsid w:val="00663B85"/>
    <w:rsid w:val="0068201A"/>
    <w:rsid w:val="00686F75"/>
    <w:rsid w:val="006963C4"/>
    <w:rsid w:val="006A1E28"/>
    <w:rsid w:val="006C1C4D"/>
    <w:rsid w:val="006C2F8C"/>
    <w:rsid w:val="006D03B1"/>
    <w:rsid w:val="006F17A8"/>
    <w:rsid w:val="00721C5E"/>
    <w:rsid w:val="00727985"/>
    <w:rsid w:val="00733555"/>
    <w:rsid w:val="007421AD"/>
    <w:rsid w:val="00745580"/>
    <w:rsid w:val="00746389"/>
    <w:rsid w:val="00756536"/>
    <w:rsid w:val="007734E6"/>
    <w:rsid w:val="00774811"/>
    <w:rsid w:val="0078067E"/>
    <w:rsid w:val="007A0EFF"/>
    <w:rsid w:val="007A1F18"/>
    <w:rsid w:val="007B2076"/>
    <w:rsid w:val="007D5860"/>
    <w:rsid w:val="007E7FB0"/>
    <w:rsid w:val="00814628"/>
    <w:rsid w:val="008404C8"/>
    <w:rsid w:val="0084252E"/>
    <w:rsid w:val="008531F0"/>
    <w:rsid w:val="00892424"/>
    <w:rsid w:val="008947AE"/>
    <w:rsid w:val="008A3F8E"/>
    <w:rsid w:val="008B62EC"/>
    <w:rsid w:val="008E0484"/>
    <w:rsid w:val="008E36D7"/>
    <w:rsid w:val="009075E2"/>
    <w:rsid w:val="009514B1"/>
    <w:rsid w:val="0095755A"/>
    <w:rsid w:val="00961CC9"/>
    <w:rsid w:val="00971722"/>
    <w:rsid w:val="009C0ED6"/>
    <w:rsid w:val="00A00DF9"/>
    <w:rsid w:val="00A2480E"/>
    <w:rsid w:val="00A254A1"/>
    <w:rsid w:val="00A274B9"/>
    <w:rsid w:val="00A40911"/>
    <w:rsid w:val="00A518E1"/>
    <w:rsid w:val="00A72186"/>
    <w:rsid w:val="00A86D4C"/>
    <w:rsid w:val="00A93FF1"/>
    <w:rsid w:val="00A972A4"/>
    <w:rsid w:val="00AA416A"/>
    <w:rsid w:val="00AA4641"/>
    <w:rsid w:val="00AC584F"/>
    <w:rsid w:val="00AC73F2"/>
    <w:rsid w:val="00AE1B75"/>
    <w:rsid w:val="00AE5EBA"/>
    <w:rsid w:val="00B1554C"/>
    <w:rsid w:val="00B646FB"/>
    <w:rsid w:val="00B8027B"/>
    <w:rsid w:val="00B96037"/>
    <w:rsid w:val="00BB541C"/>
    <w:rsid w:val="00BC589A"/>
    <w:rsid w:val="00BC5C3F"/>
    <w:rsid w:val="00BD1B8C"/>
    <w:rsid w:val="00BD5BDD"/>
    <w:rsid w:val="00BD753E"/>
    <w:rsid w:val="00C12F9A"/>
    <w:rsid w:val="00C14680"/>
    <w:rsid w:val="00C15B56"/>
    <w:rsid w:val="00C201F1"/>
    <w:rsid w:val="00C26E45"/>
    <w:rsid w:val="00C45F38"/>
    <w:rsid w:val="00C47631"/>
    <w:rsid w:val="00C54A97"/>
    <w:rsid w:val="00C639AF"/>
    <w:rsid w:val="00C86886"/>
    <w:rsid w:val="00CB1FBC"/>
    <w:rsid w:val="00CD00BF"/>
    <w:rsid w:val="00CD0B02"/>
    <w:rsid w:val="00CF070B"/>
    <w:rsid w:val="00D007E3"/>
    <w:rsid w:val="00D173A8"/>
    <w:rsid w:val="00D2368C"/>
    <w:rsid w:val="00D718AA"/>
    <w:rsid w:val="00D71E76"/>
    <w:rsid w:val="00D732A5"/>
    <w:rsid w:val="00D7570D"/>
    <w:rsid w:val="00D801DC"/>
    <w:rsid w:val="00DB08AF"/>
    <w:rsid w:val="00DF1A44"/>
    <w:rsid w:val="00DF4B7C"/>
    <w:rsid w:val="00DF7BA5"/>
    <w:rsid w:val="00E02BA3"/>
    <w:rsid w:val="00E14F0F"/>
    <w:rsid w:val="00E20BE0"/>
    <w:rsid w:val="00E23326"/>
    <w:rsid w:val="00E4641B"/>
    <w:rsid w:val="00E53D54"/>
    <w:rsid w:val="00E61CE6"/>
    <w:rsid w:val="00EA11AC"/>
    <w:rsid w:val="00EC7340"/>
    <w:rsid w:val="00ED18BE"/>
    <w:rsid w:val="00ED68B9"/>
    <w:rsid w:val="00ED7D74"/>
    <w:rsid w:val="00EE13A1"/>
    <w:rsid w:val="00EF2F5D"/>
    <w:rsid w:val="00F02587"/>
    <w:rsid w:val="00F156D2"/>
    <w:rsid w:val="00F167A5"/>
    <w:rsid w:val="00F254CD"/>
    <w:rsid w:val="00F51C71"/>
    <w:rsid w:val="00F61780"/>
    <w:rsid w:val="00F95B4C"/>
    <w:rsid w:val="00FA1359"/>
    <w:rsid w:val="00FA7287"/>
    <w:rsid w:val="00FB2D81"/>
    <w:rsid w:val="00FC3CAE"/>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96745">
      <w:bodyDiv w:val="1"/>
      <w:marLeft w:val="0"/>
      <w:marRight w:val="0"/>
      <w:marTop w:val="0"/>
      <w:marBottom w:val="0"/>
      <w:divBdr>
        <w:top w:val="none" w:sz="0" w:space="0" w:color="auto"/>
        <w:left w:val="none" w:sz="0" w:space="0" w:color="auto"/>
        <w:bottom w:val="none" w:sz="0" w:space="0" w:color="auto"/>
        <w:right w:val="none" w:sz="0" w:space="0" w:color="auto"/>
      </w:divBdr>
    </w:div>
    <w:div w:id="1045520320">
      <w:bodyDiv w:val="1"/>
      <w:marLeft w:val="0"/>
      <w:marRight w:val="0"/>
      <w:marTop w:val="0"/>
      <w:marBottom w:val="0"/>
      <w:divBdr>
        <w:top w:val="none" w:sz="0" w:space="0" w:color="auto"/>
        <w:left w:val="none" w:sz="0" w:space="0" w:color="auto"/>
        <w:bottom w:val="none" w:sz="0" w:space="0" w:color="auto"/>
        <w:right w:val="none" w:sz="0" w:space="0" w:color="auto"/>
      </w:divBdr>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McDonald, Lorraine</cp:lastModifiedBy>
  <cp:revision>17</cp:revision>
  <cp:lastPrinted>2024-03-14T05:17:00Z</cp:lastPrinted>
  <dcterms:created xsi:type="dcterms:W3CDTF">2025-09-09T06:03:00Z</dcterms:created>
  <dcterms:modified xsi:type="dcterms:W3CDTF">2025-09-09T06:47:00Z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367442089</vt:i4>
  </property>
  <property fmtid="{D5CDD505-2E9C-101B-9397-08002B2CF9AE}" pid="10" name="_NewReviewCycle">
    <vt:lpwstr/>
  </property>
  <property fmtid="{D5CDD505-2E9C-101B-9397-08002B2CF9AE}" pid="11" name="_EmailSubject">
    <vt:lpwstr>JDF Template - Response from People and Payroll Services [SR-0011424]</vt:lpwstr>
  </property>
  <property fmtid="{D5CDD505-2E9C-101B-9397-08002B2CF9AE}" pid="12" name="_AuthorEmail">
    <vt:lpwstr>Gavin.Seredynski@dpc.wa.gov.au</vt:lpwstr>
  </property>
  <property fmtid="{D5CDD505-2E9C-101B-9397-08002B2CF9AE}" pid="13" name="_AuthorEmailDisplayName">
    <vt:lpwstr>Seredynski, Gavin</vt:lpwstr>
  </property>
  <property fmtid="{D5CDD505-2E9C-101B-9397-08002B2CF9AE}" pid="14" name="_PreviousAdHocReviewCycleID">
    <vt:i4>2016571752</vt:i4>
  </property>
  <property fmtid="{D5CDD505-2E9C-101B-9397-08002B2CF9AE}" pid="15" name="ContentTypeId">
    <vt:lpwstr>0x01010070D56267112CDC4FB0D8582F58FF7CE1</vt:lpwstr>
  </property>
  <property fmtid="{D5CDD505-2E9C-101B-9397-08002B2CF9AE}" pid="16" name="_ReviewingToolsShownOnce">
    <vt:lpwstr/>
  </property>
</Properties>
</file>