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4D6DE462" w:rsidR="004A4EC3" w:rsidRPr="00C14680" w:rsidRDefault="00B97015" w:rsidP="007F52F8">
      <w:pPr>
        <w:spacing w:line="360" w:lineRule="auto"/>
        <w:jc w:val="both"/>
        <w:rPr>
          <w:rFonts w:eastAsiaTheme="majorEastAsia" w:cs="Times New Roman (Headings CS)"/>
          <w:b/>
          <w:color w:val="CC5733"/>
          <w:sz w:val="20"/>
          <w:szCs w:val="20"/>
        </w:rPr>
      </w:pPr>
      <w:r>
        <w:rPr>
          <w:rFonts w:eastAsiaTheme="majorEastAsia" w:cs="Times New Roman (Headings CS)"/>
          <w:b/>
          <w:color w:val="CC5733"/>
          <w:sz w:val="30"/>
          <w:szCs w:val="30"/>
        </w:rPr>
        <w:t xml:space="preserve">Assistant Data Engineer – Level 4 </w:t>
      </w:r>
      <w:r w:rsidR="00202B10" w:rsidRPr="00202B10">
        <w:rPr>
          <w:rFonts w:eastAsiaTheme="majorEastAsia" w:cs="Times New Roman (Headings CS)"/>
          <w:b/>
          <w:color w:val="CC5733"/>
          <w:sz w:val="30"/>
          <w:szCs w:val="30"/>
        </w:rPr>
        <w:t>DPC24039</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35EFD895" w:rsidR="004A4EC3" w:rsidRPr="00D007E3" w:rsidRDefault="009514B1" w:rsidP="007F52F8">
            <w:pPr>
              <w:pStyle w:val="Formfields"/>
              <w:framePr w:hSpace="0" w:wrap="auto" w:vAnchor="margin" w:yAlign="inline"/>
              <w:suppressOverlap w:val="0"/>
              <w:jc w:val="both"/>
              <w:rPr>
                <w:color w:val="000000" w:themeColor="text1"/>
              </w:rPr>
            </w:pPr>
            <w:r>
              <w:t>Division/</w:t>
            </w:r>
            <w:r w:rsidR="004A4EC3" w:rsidRPr="00D007E3">
              <w:t xml:space="preserve">Directorate: </w:t>
            </w:r>
          </w:p>
        </w:tc>
        <w:tc>
          <w:tcPr>
            <w:tcW w:w="2747" w:type="dxa"/>
          </w:tcPr>
          <w:p w14:paraId="6E7A5B79" w14:textId="2B84C717" w:rsidR="004A4EC3" w:rsidRPr="00D007E3" w:rsidRDefault="00B97015" w:rsidP="003F6196">
            <w:r>
              <w:t>Office of Digital Government</w:t>
            </w:r>
          </w:p>
        </w:tc>
        <w:tc>
          <w:tcPr>
            <w:tcW w:w="1647" w:type="dxa"/>
          </w:tcPr>
          <w:p w14:paraId="67141356" w14:textId="77777777" w:rsidR="004A4EC3" w:rsidRPr="00D007E3" w:rsidRDefault="004A4EC3" w:rsidP="007F52F8">
            <w:pPr>
              <w:pStyle w:val="Formfields"/>
              <w:framePr w:hSpace="0" w:wrap="auto" w:vAnchor="margin" w:yAlign="inline"/>
              <w:suppressOverlap w:val="0"/>
              <w:jc w:val="both"/>
            </w:pPr>
            <w:r w:rsidRPr="00D007E3">
              <w:t xml:space="preserve">Reports to: </w:t>
            </w:r>
          </w:p>
        </w:tc>
        <w:tc>
          <w:tcPr>
            <w:tcW w:w="2410" w:type="dxa"/>
          </w:tcPr>
          <w:p w14:paraId="0836B71E" w14:textId="131A839B" w:rsidR="004A4EC3" w:rsidRPr="006A1E28" w:rsidRDefault="00B97015" w:rsidP="003F6196">
            <w:pPr>
              <w:rPr>
                <w:color w:val="000000" w:themeColor="text1"/>
              </w:rPr>
            </w:pPr>
            <w:r>
              <w:rPr>
                <w:color w:val="000000" w:themeColor="text1"/>
              </w:rPr>
              <w:t>Senior Data Engineer</w:t>
            </w:r>
          </w:p>
        </w:tc>
      </w:tr>
      <w:tr w:rsidR="004A4EC3" w:rsidRPr="00D007E3" w14:paraId="77F9C586" w14:textId="77777777" w:rsidTr="009514B1">
        <w:trPr>
          <w:trHeight w:val="85"/>
        </w:trPr>
        <w:tc>
          <w:tcPr>
            <w:tcW w:w="2552" w:type="dxa"/>
          </w:tcPr>
          <w:p w14:paraId="5E66F297" w14:textId="1455B585" w:rsidR="004A4EC3" w:rsidRPr="00D007E3" w:rsidRDefault="004A4EC3" w:rsidP="007F52F8">
            <w:pPr>
              <w:pStyle w:val="Default"/>
              <w:jc w:val="both"/>
              <w:rPr>
                <w:color w:val="000000" w:themeColor="text1"/>
              </w:rPr>
            </w:pPr>
            <w:r w:rsidRPr="00D007E3">
              <w:rPr>
                <w:color w:val="CC5733"/>
              </w:rPr>
              <w:t xml:space="preserve">Branch/Section: </w:t>
            </w:r>
          </w:p>
        </w:tc>
        <w:tc>
          <w:tcPr>
            <w:tcW w:w="2747" w:type="dxa"/>
          </w:tcPr>
          <w:p w14:paraId="2E756B84" w14:textId="34822432" w:rsidR="004A4EC3" w:rsidRPr="00D007E3" w:rsidRDefault="00B97015" w:rsidP="007F52F8">
            <w:pPr>
              <w:jc w:val="both"/>
            </w:pPr>
            <w:r>
              <w:t>Data Unit</w:t>
            </w:r>
          </w:p>
        </w:tc>
        <w:tc>
          <w:tcPr>
            <w:tcW w:w="1647" w:type="dxa"/>
          </w:tcPr>
          <w:p w14:paraId="69AA6691" w14:textId="77777777" w:rsidR="004A4EC3" w:rsidRPr="00D007E3" w:rsidRDefault="004A4EC3" w:rsidP="007F52F8">
            <w:pPr>
              <w:pStyle w:val="Formfields"/>
              <w:framePr w:hSpace="0" w:wrap="auto" w:vAnchor="margin" w:yAlign="inline"/>
              <w:suppressOverlap w:val="0"/>
              <w:jc w:val="both"/>
            </w:pPr>
            <w:r w:rsidRPr="00D007E3">
              <w:t xml:space="preserve">Supervises: </w:t>
            </w:r>
          </w:p>
        </w:tc>
        <w:tc>
          <w:tcPr>
            <w:tcW w:w="2410" w:type="dxa"/>
          </w:tcPr>
          <w:p w14:paraId="492DAAAF" w14:textId="0DF7CE2E" w:rsidR="004A4EC3" w:rsidRPr="006A1E28" w:rsidRDefault="006A1E28" w:rsidP="007F52F8">
            <w:pPr>
              <w:jc w:val="both"/>
              <w:rPr>
                <w:color w:val="000000" w:themeColor="text1"/>
              </w:rPr>
            </w:pPr>
            <w:r w:rsidRPr="006A1E28">
              <w:rPr>
                <w:color w:val="000000" w:themeColor="text1"/>
              </w:rPr>
              <w:t>Nil</w:t>
            </w:r>
            <w:r w:rsidR="004A4EC3" w:rsidRPr="006A1E28">
              <w:rPr>
                <w:color w:val="000000" w:themeColor="text1"/>
              </w:rPr>
              <w:t xml:space="preserve"> </w:t>
            </w:r>
          </w:p>
        </w:tc>
      </w:tr>
      <w:tr w:rsidR="004A4EC3" w:rsidRPr="00D007E3" w14:paraId="6BBCF80B" w14:textId="77777777" w:rsidTr="009514B1">
        <w:trPr>
          <w:trHeight w:val="434"/>
        </w:trPr>
        <w:tc>
          <w:tcPr>
            <w:tcW w:w="2552" w:type="dxa"/>
          </w:tcPr>
          <w:p w14:paraId="441BB099" w14:textId="16118058" w:rsidR="004A4EC3" w:rsidRPr="00D007E3" w:rsidRDefault="004A4EC3" w:rsidP="007F52F8">
            <w:pPr>
              <w:pStyle w:val="Default"/>
              <w:jc w:val="both"/>
              <w:rPr>
                <w:color w:val="000000" w:themeColor="text1"/>
              </w:rPr>
            </w:pPr>
            <w:r w:rsidRPr="00D007E3">
              <w:rPr>
                <w:color w:val="CC5733"/>
              </w:rPr>
              <w:t xml:space="preserve">Location: </w:t>
            </w:r>
          </w:p>
        </w:tc>
        <w:tc>
          <w:tcPr>
            <w:tcW w:w="2747" w:type="dxa"/>
          </w:tcPr>
          <w:p w14:paraId="7552AE47" w14:textId="775F0025" w:rsidR="004A4EC3" w:rsidRPr="00D007E3" w:rsidRDefault="004E2FC6" w:rsidP="007F52F8">
            <w:pPr>
              <w:jc w:val="both"/>
            </w:pPr>
            <w:r>
              <w:t xml:space="preserve">West Perth </w:t>
            </w:r>
          </w:p>
        </w:tc>
        <w:tc>
          <w:tcPr>
            <w:tcW w:w="1647" w:type="dxa"/>
          </w:tcPr>
          <w:p w14:paraId="7FF4CBAE" w14:textId="0CC22394" w:rsidR="004A4EC3" w:rsidRPr="00D007E3" w:rsidRDefault="004A4EC3" w:rsidP="007F52F8">
            <w:pPr>
              <w:pStyle w:val="Default"/>
              <w:jc w:val="both"/>
              <w:rPr>
                <w:color w:val="CC5733"/>
              </w:rPr>
            </w:pPr>
          </w:p>
        </w:tc>
        <w:tc>
          <w:tcPr>
            <w:tcW w:w="2410" w:type="dxa"/>
          </w:tcPr>
          <w:p w14:paraId="6D36D602" w14:textId="0EDB96F9" w:rsidR="004A4EC3" w:rsidRPr="00D007E3" w:rsidRDefault="004A4EC3" w:rsidP="007F52F8">
            <w:pPr>
              <w:jc w:val="both"/>
            </w:pPr>
          </w:p>
        </w:tc>
      </w:tr>
    </w:tbl>
    <w:p w14:paraId="0659CC79" w14:textId="4FE04358" w:rsidR="00756536" w:rsidRPr="00070651" w:rsidRDefault="004A4EC3" w:rsidP="007F52F8">
      <w:pPr>
        <w:pStyle w:val="Heading1"/>
        <w:jc w:val="both"/>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56A0065" w14:textId="6B6857BC" w:rsidR="00B97015" w:rsidRPr="00B97015" w:rsidRDefault="00B97015" w:rsidP="007F52F8">
      <w:pPr>
        <w:spacing w:line="240" w:lineRule="auto"/>
        <w:jc w:val="both"/>
      </w:pPr>
      <w:r w:rsidRPr="00B97015">
        <w:t xml:space="preserve">Our vision is to lead a connected government that delivers a brighter future for Western Australians. </w:t>
      </w:r>
    </w:p>
    <w:p w14:paraId="4E9DD6FE" w14:textId="54B16C80" w:rsidR="00B97015" w:rsidRPr="00B97015" w:rsidRDefault="00B97015" w:rsidP="007F52F8">
      <w:pPr>
        <w:spacing w:line="240" w:lineRule="auto"/>
        <w:jc w:val="both"/>
      </w:pPr>
      <w:r w:rsidRPr="00B97015">
        <w:t xml:space="preserve">The Department of the Premier and Cabinet (DPC) lead the public sector in providing whole-of-Government advice and support to the Premier and Cabinet in their service of the WA community. </w:t>
      </w:r>
    </w:p>
    <w:p w14:paraId="184D9FE0" w14:textId="77777777" w:rsidR="00B97015" w:rsidRPr="00B97015" w:rsidRDefault="00B97015" w:rsidP="007F52F8">
      <w:pPr>
        <w:spacing w:line="240" w:lineRule="auto"/>
        <w:jc w:val="both"/>
      </w:pPr>
      <w:r w:rsidRPr="00B97015">
        <w:t>Our areas of responsibility include Office of Digital Government, Intergovernmental Relations and Strategic Priorities, Aboriginal Engagement and Community Policy, Infrastructure, Economy and Environment and Executive Government Support.</w:t>
      </w:r>
    </w:p>
    <w:p w14:paraId="692C6C49" w14:textId="496825EB" w:rsidR="003A787A" w:rsidRPr="00B97015" w:rsidRDefault="00B97015" w:rsidP="007F52F8">
      <w:pPr>
        <w:spacing w:line="240" w:lineRule="auto"/>
        <w:jc w:val="both"/>
      </w:pPr>
      <w:r w:rsidRPr="00B97015">
        <w:t>Join us and work in a role where you can make a real difference to the lives of children, families, individuals and communities throughout Western Australia.</w:t>
      </w:r>
      <w:bookmarkStart w:id="0" w:name="_Hlk125896025"/>
    </w:p>
    <w:p w14:paraId="7AEAE172" w14:textId="77777777" w:rsidR="009056C5" w:rsidRDefault="003522C2" w:rsidP="007F52F8">
      <w:pPr>
        <w:pStyle w:val="Heading1"/>
        <w:jc w:val="both"/>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bookmarkEnd w:id="0"/>
    </w:p>
    <w:p w14:paraId="6364B66A" w14:textId="6A4DB10F" w:rsidR="006963C4" w:rsidRPr="009056C5" w:rsidRDefault="00B97015" w:rsidP="007F52F8">
      <w:pPr>
        <w:pStyle w:val="Heading1"/>
        <w:jc w:val="both"/>
        <w:rPr>
          <w:sz w:val="24"/>
          <w:szCs w:val="24"/>
        </w:rPr>
      </w:pPr>
      <w:r w:rsidRPr="00B97015">
        <w:rPr>
          <w:b w:val="0"/>
          <w:bCs/>
          <w:color w:val="000000" w:themeColor="text1"/>
          <w:sz w:val="24"/>
          <w:szCs w:val="24"/>
        </w:rPr>
        <w:t>The Office of Digital Government is leading the digital transformation of the WA public sector to support agencies in improving service delivery to the community. This includes providing more convenient access to government services</w:t>
      </w:r>
      <w:r w:rsidR="00844653">
        <w:rPr>
          <w:b w:val="0"/>
          <w:bCs/>
          <w:color w:val="000000" w:themeColor="text1"/>
          <w:sz w:val="24"/>
          <w:szCs w:val="24"/>
        </w:rPr>
        <w:t xml:space="preserve"> </w:t>
      </w:r>
      <w:r w:rsidRPr="00B97015">
        <w:rPr>
          <w:b w:val="0"/>
          <w:bCs/>
          <w:color w:val="000000" w:themeColor="text1"/>
          <w:sz w:val="24"/>
          <w:szCs w:val="24"/>
        </w:rPr>
        <w:t>online and</w:t>
      </w:r>
      <w:r w:rsidR="00844653">
        <w:rPr>
          <w:b w:val="0"/>
          <w:bCs/>
          <w:color w:val="000000" w:themeColor="text1"/>
          <w:sz w:val="24"/>
          <w:szCs w:val="24"/>
        </w:rPr>
        <w:t xml:space="preserve"> </w:t>
      </w:r>
      <w:r w:rsidRPr="00B97015">
        <w:rPr>
          <w:b w:val="0"/>
          <w:bCs/>
          <w:color w:val="000000" w:themeColor="text1"/>
          <w:sz w:val="24"/>
          <w:szCs w:val="24"/>
        </w:rPr>
        <w:t>not disadvantaging those who cannot or do not want to use digital services. Ensuring that personal information and data collected,</w:t>
      </w:r>
      <w:r w:rsidR="00844653">
        <w:rPr>
          <w:b w:val="0"/>
          <w:bCs/>
          <w:color w:val="000000" w:themeColor="text1"/>
          <w:sz w:val="24"/>
          <w:szCs w:val="24"/>
        </w:rPr>
        <w:t xml:space="preserve"> </w:t>
      </w:r>
      <w:r w:rsidRPr="00B97015">
        <w:rPr>
          <w:b w:val="0"/>
          <w:bCs/>
          <w:color w:val="000000" w:themeColor="text1"/>
          <w:sz w:val="24"/>
          <w:szCs w:val="24"/>
        </w:rPr>
        <w:t>stored,</w:t>
      </w:r>
      <w:r w:rsidR="00844653">
        <w:rPr>
          <w:b w:val="0"/>
          <w:bCs/>
          <w:color w:val="000000" w:themeColor="text1"/>
          <w:sz w:val="24"/>
          <w:szCs w:val="24"/>
        </w:rPr>
        <w:t xml:space="preserve"> </w:t>
      </w:r>
      <w:r w:rsidRPr="00B97015">
        <w:rPr>
          <w:b w:val="0"/>
          <w:bCs/>
          <w:color w:val="000000" w:themeColor="text1"/>
          <w:sz w:val="24"/>
          <w:szCs w:val="24"/>
        </w:rPr>
        <w:t>and shared by the WA Government is protected is a crucial element of what we do.</w:t>
      </w:r>
    </w:p>
    <w:p w14:paraId="7D1D0209" w14:textId="551A0CAA" w:rsidR="00477E21" w:rsidRPr="00280C06" w:rsidRDefault="00A00DF9" w:rsidP="007F52F8">
      <w:pPr>
        <w:pStyle w:val="Heading1"/>
        <w:jc w:val="both"/>
        <w:rPr>
          <w:b w:val="0"/>
        </w:rPr>
      </w:pPr>
      <w:r w:rsidRPr="00280C06">
        <w:rPr>
          <w:sz w:val="24"/>
          <w:szCs w:val="24"/>
        </w:rPr>
        <w:t xml:space="preserve">About the </w:t>
      </w:r>
      <w:r w:rsidR="00756536" w:rsidRPr="00280C06">
        <w:rPr>
          <w:sz w:val="24"/>
          <w:szCs w:val="24"/>
        </w:rPr>
        <w:t>Role</w:t>
      </w:r>
      <w:r w:rsidR="00C45F38" w:rsidRPr="00280C06">
        <w:rPr>
          <w:sz w:val="24"/>
          <w:szCs w:val="24"/>
        </w:rPr>
        <w:t xml:space="preserve"> </w:t>
      </w:r>
      <w:r w:rsidR="004A4EC3" w:rsidRPr="00280C06">
        <w:rPr>
          <w:sz w:val="24"/>
          <w:szCs w:val="24"/>
        </w:rPr>
        <w:t>and Responsibilities</w:t>
      </w:r>
    </w:p>
    <w:p w14:paraId="66A3BB4A" w14:textId="0A7F4484" w:rsidR="00A72186" w:rsidRDefault="00B97015" w:rsidP="007F52F8">
      <w:pPr>
        <w:spacing w:before="240"/>
        <w:jc w:val="both"/>
      </w:pPr>
      <w:r>
        <w:t xml:space="preserve">This </w:t>
      </w:r>
      <w:r w:rsidRPr="00B97015">
        <w:t>position</w:t>
      </w:r>
      <w:r w:rsidR="00844653">
        <w:t xml:space="preserve"> </w:t>
      </w:r>
      <w:r w:rsidRPr="00B97015">
        <w:t>is responsible for</w:t>
      </w:r>
      <w:r w:rsidR="00844653">
        <w:t xml:space="preserve"> </w:t>
      </w:r>
      <w:r w:rsidRPr="00B97015">
        <w:t>supporting the Department’s whole-of-government data infrastructure across the data lifecycle, including data ingestion, transformation, data quality management, application of data standards, and data delivery. Th</w:t>
      </w:r>
      <w:r w:rsidR="008B02FD">
        <w:t xml:space="preserve">e Assistant Data Engineer </w:t>
      </w:r>
      <w:r w:rsidRPr="00B97015">
        <w:t>will</w:t>
      </w:r>
      <w:r w:rsidR="00844653">
        <w:t xml:space="preserve"> </w:t>
      </w:r>
      <w:r w:rsidRPr="00B97015">
        <w:t>participate</w:t>
      </w:r>
      <w:r w:rsidR="00844653">
        <w:t xml:space="preserve"> </w:t>
      </w:r>
      <w:r w:rsidRPr="00B97015">
        <w:t>in the execution of data engineering projects and</w:t>
      </w:r>
      <w:r w:rsidR="00844653">
        <w:t xml:space="preserve"> </w:t>
      </w:r>
      <w:r w:rsidRPr="00B97015">
        <w:t>assist</w:t>
      </w:r>
      <w:r w:rsidR="00844653">
        <w:t xml:space="preserve"> </w:t>
      </w:r>
      <w:r w:rsidRPr="00B97015">
        <w:t>to improve the usability and increase sharing of the state’s critical data assets.</w:t>
      </w:r>
      <w:r w:rsidR="0033476B">
        <w:tab/>
      </w:r>
    </w:p>
    <w:p w14:paraId="392B1782" w14:textId="0602277B" w:rsidR="00756536" w:rsidRDefault="00B97015" w:rsidP="007F52F8">
      <w:pPr>
        <w:pStyle w:val="Heading3"/>
        <w:jc w:val="both"/>
        <w:rPr>
          <w:rFonts w:cs="Arial"/>
          <w:sz w:val="24"/>
        </w:rPr>
      </w:pPr>
      <w:r>
        <w:rPr>
          <w:rFonts w:cs="Arial"/>
          <w:sz w:val="24"/>
        </w:rPr>
        <w:lastRenderedPageBreak/>
        <w:t>Data Management</w:t>
      </w:r>
    </w:p>
    <w:p w14:paraId="1F9CCF65" w14:textId="77777777" w:rsidR="00B97015" w:rsidRDefault="00B97015" w:rsidP="007F52F8">
      <w:pPr>
        <w:pStyle w:val="ListParagraph"/>
        <w:numPr>
          <w:ilvl w:val="0"/>
          <w:numId w:val="19"/>
        </w:numPr>
        <w:jc w:val="both"/>
      </w:pPr>
      <w:r>
        <w:t xml:space="preserve">Supports, optimises, and maintains the Department’s whole-of-government data infrastructure across the data lifecycle, including data ingestion, data quality assurance, application of data standards, and data delivery. </w:t>
      </w:r>
    </w:p>
    <w:p w14:paraId="5DCD098A" w14:textId="77777777" w:rsidR="00B97015" w:rsidRDefault="00B97015" w:rsidP="007F52F8">
      <w:pPr>
        <w:pStyle w:val="ListParagraph"/>
        <w:numPr>
          <w:ilvl w:val="0"/>
          <w:numId w:val="19"/>
        </w:numPr>
        <w:jc w:val="both"/>
      </w:pPr>
      <w:r>
        <w:t xml:space="preserve">Supports the development and documentation of processes to streamline and automate data ingestion, data delivery, metadata management, and access management. </w:t>
      </w:r>
    </w:p>
    <w:p w14:paraId="1DF3E7A6" w14:textId="4F743FD7" w:rsidR="00B97015" w:rsidRDefault="00B97015" w:rsidP="007F52F8">
      <w:pPr>
        <w:pStyle w:val="ListParagraph"/>
        <w:numPr>
          <w:ilvl w:val="0"/>
          <w:numId w:val="19"/>
        </w:numPr>
        <w:jc w:val="both"/>
      </w:pPr>
      <w:r>
        <w:t xml:space="preserve">Works with internal and external stakeholders to ingest data from a wide </w:t>
      </w:r>
      <w:r w:rsidR="00844653">
        <w:t xml:space="preserve">range </w:t>
      </w:r>
      <w:r>
        <w:t xml:space="preserve">of data sources using a variety of languages and technologies. </w:t>
      </w:r>
    </w:p>
    <w:p w14:paraId="310A9017" w14:textId="77777777" w:rsidR="00B97015" w:rsidRDefault="00B97015" w:rsidP="007F52F8">
      <w:pPr>
        <w:pStyle w:val="ListParagraph"/>
        <w:numPr>
          <w:ilvl w:val="0"/>
          <w:numId w:val="19"/>
        </w:numPr>
        <w:jc w:val="both"/>
      </w:pPr>
      <w:r>
        <w:t xml:space="preserve">Undertakes data testing and quality assurance activities, in collaboration with internal and external subject matter experts, to maintain data integrity. </w:t>
      </w:r>
    </w:p>
    <w:p w14:paraId="0B2BAE3F" w14:textId="6019D27B" w:rsidR="00B97015" w:rsidRPr="00B97015" w:rsidRDefault="00B97015" w:rsidP="007F52F8">
      <w:pPr>
        <w:pStyle w:val="ListParagraph"/>
        <w:numPr>
          <w:ilvl w:val="0"/>
          <w:numId w:val="19"/>
        </w:numPr>
        <w:jc w:val="both"/>
      </w:pPr>
      <w:r>
        <w:t xml:space="preserve">Supports the Principal Strategist </w:t>
      </w:r>
      <w:r w:rsidR="00844653">
        <w:t>in</w:t>
      </w:r>
      <w:r>
        <w:t xml:space="preserve"> ensur</w:t>
      </w:r>
      <w:r w:rsidR="00844653">
        <w:t>ing</w:t>
      </w:r>
      <w:r>
        <w:t xml:space="preserve"> that sensitive data is appropriately managed and in maintaining compliance with record keeping, legislative, security, and data custodian requirements. </w:t>
      </w:r>
    </w:p>
    <w:p w14:paraId="3A07CDD2" w14:textId="1C9172C7" w:rsidR="00756536" w:rsidRPr="00070651" w:rsidRDefault="00B97015" w:rsidP="007F52F8">
      <w:pPr>
        <w:pStyle w:val="Heading3"/>
        <w:jc w:val="both"/>
        <w:rPr>
          <w:rFonts w:cs="Arial"/>
          <w:sz w:val="24"/>
        </w:rPr>
      </w:pPr>
      <w:r>
        <w:rPr>
          <w:rFonts w:cs="Arial"/>
          <w:sz w:val="24"/>
        </w:rPr>
        <w:t>Data Management and Visualisation</w:t>
      </w:r>
    </w:p>
    <w:p w14:paraId="57BAF602" w14:textId="6A81E61E" w:rsidR="00B97015" w:rsidRPr="00B97015" w:rsidRDefault="00B97015" w:rsidP="007F52F8">
      <w:pPr>
        <w:pStyle w:val="Heading3"/>
        <w:numPr>
          <w:ilvl w:val="0"/>
          <w:numId w:val="20"/>
        </w:numPr>
        <w:spacing w:before="0" w:line="240" w:lineRule="auto"/>
        <w:jc w:val="both"/>
        <w:rPr>
          <w:rFonts w:eastAsiaTheme="minorHAnsi" w:cs="Calibri"/>
          <w:b w:val="0"/>
          <w:sz w:val="24"/>
          <w14:ligatures w14:val="standardContextual"/>
        </w:rPr>
      </w:pPr>
      <w:r w:rsidRPr="00B97015">
        <w:rPr>
          <w:rFonts w:eastAsiaTheme="minorHAnsi" w:cs="Calibri"/>
          <w:b w:val="0"/>
          <w:sz w:val="24"/>
          <w14:ligatures w14:val="standardContextual"/>
        </w:rPr>
        <w:t>Lead</w:t>
      </w:r>
      <w:r w:rsidR="00844653">
        <w:rPr>
          <w:rFonts w:eastAsiaTheme="minorHAnsi" w:cs="Calibri"/>
          <w:b w:val="0"/>
          <w:sz w:val="24"/>
          <w14:ligatures w14:val="standardContextual"/>
        </w:rPr>
        <w:t>s</w:t>
      </w:r>
      <w:r w:rsidRPr="00B97015">
        <w:rPr>
          <w:rFonts w:eastAsiaTheme="minorHAnsi" w:cs="Calibri"/>
          <w:b w:val="0"/>
          <w:sz w:val="24"/>
          <w14:ligatures w14:val="standardContextual"/>
        </w:rPr>
        <w:t xml:space="preserve"> the development of PowerBI dashboards and reporting tools for Ministers, executive staff, and senior stakeholders across the WA public sector. </w:t>
      </w:r>
    </w:p>
    <w:p w14:paraId="3A7C95F3" w14:textId="6E3DB15E" w:rsidR="00B97015" w:rsidRPr="00B97015" w:rsidRDefault="00B97015" w:rsidP="007F52F8">
      <w:pPr>
        <w:pStyle w:val="Heading3"/>
        <w:numPr>
          <w:ilvl w:val="0"/>
          <w:numId w:val="20"/>
        </w:numPr>
        <w:spacing w:before="0" w:line="240" w:lineRule="auto"/>
        <w:jc w:val="both"/>
        <w:rPr>
          <w:rFonts w:eastAsiaTheme="minorHAnsi" w:cs="Calibri"/>
          <w:b w:val="0"/>
          <w:sz w:val="24"/>
          <w14:ligatures w14:val="standardContextual"/>
        </w:rPr>
      </w:pPr>
      <w:r w:rsidRPr="00B97015">
        <w:rPr>
          <w:rFonts w:eastAsiaTheme="minorHAnsi" w:cs="Calibri"/>
          <w:b w:val="0"/>
          <w:sz w:val="24"/>
          <w14:ligatures w14:val="standardContextual"/>
        </w:rPr>
        <w:t>Work</w:t>
      </w:r>
      <w:r w:rsidR="00844653">
        <w:rPr>
          <w:rFonts w:eastAsiaTheme="minorHAnsi" w:cs="Calibri"/>
          <w:b w:val="0"/>
          <w:sz w:val="24"/>
          <w14:ligatures w14:val="standardContextual"/>
        </w:rPr>
        <w:t>s</w:t>
      </w:r>
      <w:r w:rsidRPr="00B97015">
        <w:rPr>
          <w:rFonts w:eastAsiaTheme="minorHAnsi" w:cs="Calibri"/>
          <w:b w:val="0"/>
          <w:sz w:val="24"/>
          <w14:ligatures w14:val="standardContextual"/>
        </w:rPr>
        <w:t xml:space="preserve"> with the Data Engineers to support operational dashboards and other reporting tools by coordinating and performing maintenance and identifying and implementing improvements. </w:t>
      </w:r>
    </w:p>
    <w:p w14:paraId="58916258" w14:textId="009C1AC4" w:rsidR="00B97015" w:rsidRPr="00B97015" w:rsidRDefault="00B97015" w:rsidP="007F52F8">
      <w:pPr>
        <w:pStyle w:val="Heading3"/>
        <w:numPr>
          <w:ilvl w:val="0"/>
          <w:numId w:val="20"/>
        </w:numPr>
        <w:spacing w:before="0" w:line="240" w:lineRule="auto"/>
        <w:jc w:val="both"/>
        <w:rPr>
          <w:rFonts w:eastAsiaTheme="minorHAnsi" w:cs="Calibri"/>
          <w:b w:val="0"/>
          <w:sz w:val="24"/>
          <w14:ligatures w14:val="standardContextual"/>
        </w:rPr>
      </w:pPr>
      <w:r w:rsidRPr="00B97015">
        <w:rPr>
          <w:rFonts w:eastAsiaTheme="minorHAnsi" w:cs="Calibri"/>
          <w:b w:val="0"/>
          <w:sz w:val="24"/>
          <w14:ligatures w14:val="standardContextual"/>
        </w:rPr>
        <w:t>Assist</w:t>
      </w:r>
      <w:r w:rsidR="00844653">
        <w:rPr>
          <w:rFonts w:eastAsiaTheme="minorHAnsi" w:cs="Calibri"/>
          <w:b w:val="0"/>
          <w:sz w:val="24"/>
          <w14:ligatures w14:val="standardContextual"/>
        </w:rPr>
        <w:t>s</w:t>
      </w:r>
      <w:r w:rsidRPr="00B97015">
        <w:rPr>
          <w:rFonts w:eastAsiaTheme="minorHAnsi" w:cs="Calibri"/>
          <w:b w:val="0"/>
          <w:sz w:val="24"/>
          <w14:ligatures w14:val="standardContextual"/>
        </w:rPr>
        <w:t xml:space="preserve"> the Data Engineers to develop, document, and refine processes to streamline and automate data ingestion, data delivery, metadata management, and access management. </w:t>
      </w:r>
    </w:p>
    <w:p w14:paraId="03CF070C" w14:textId="30F95C46" w:rsidR="00756536" w:rsidRPr="00070651" w:rsidRDefault="00B97015" w:rsidP="007F52F8">
      <w:pPr>
        <w:pStyle w:val="Heading3"/>
        <w:jc w:val="both"/>
        <w:rPr>
          <w:rFonts w:cs="Arial"/>
          <w:sz w:val="24"/>
        </w:rPr>
      </w:pPr>
      <w:r>
        <w:rPr>
          <w:rFonts w:cs="Arial"/>
          <w:sz w:val="24"/>
        </w:rPr>
        <w:t>Client Services</w:t>
      </w:r>
    </w:p>
    <w:p w14:paraId="056B6253" w14:textId="54F65A99" w:rsidR="00644605" w:rsidRPr="00644605" w:rsidRDefault="00B97015" w:rsidP="007F52F8">
      <w:pPr>
        <w:pStyle w:val="ListParagraph"/>
        <w:numPr>
          <w:ilvl w:val="0"/>
          <w:numId w:val="37"/>
        </w:numPr>
        <w:spacing w:after="0"/>
        <w:ind w:left="360"/>
        <w:jc w:val="both"/>
      </w:pPr>
      <w:r w:rsidRPr="00644605">
        <w:t>Builds</w:t>
      </w:r>
      <w:r w:rsidR="00844653">
        <w:t xml:space="preserve"> </w:t>
      </w:r>
      <w:r w:rsidRPr="00644605">
        <w:t>and</w:t>
      </w:r>
      <w:r w:rsidR="00844653">
        <w:t xml:space="preserve"> </w:t>
      </w:r>
      <w:r w:rsidRPr="00644605">
        <w:t>maintains</w:t>
      </w:r>
      <w:r w:rsidR="00844653">
        <w:t xml:space="preserve"> </w:t>
      </w:r>
      <w:r w:rsidRPr="00644605">
        <w:t>positive</w:t>
      </w:r>
      <w:r w:rsidR="00844653">
        <w:t xml:space="preserve"> </w:t>
      </w:r>
      <w:r w:rsidRPr="00644605">
        <w:t>working</w:t>
      </w:r>
      <w:r w:rsidR="00844653">
        <w:t xml:space="preserve"> </w:t>
      </w:r>
      <w:r w:rsidRPr="00644605">
        <w:t>relationships</w:t>
      </w:r>
      <w:r w:rsidR="00844653">
        <w:t xml:space="preserve"> </w:t>
      </w:r>
      <w:r w:rsidRPr="00644605">
        <w:t>with</w:t>
      </w:r>
      <w:r w:rsidR="00844653">
        <w:t xml:space="preserve"> </w:t>
      </w:r>
      <w:r w:rsidRPr="00644605">
        <w:t>internal</w:t>
      </w:r>
      <w:r w:rsidR="00844653">
        <w:t xml:space="preserve"> </w:t>
      </w:r>
      <w:r w:rsidRPr="00644605">
        <w:t>and</w:t>
      </w:r>
      <w:r w:rsidR="00844653">
        <w:t xml:space="preserve"> </w:t>
      </w:r>
      <w:r w:rsidRPr="00644605">
        <w:t>external</w:t>
      </w:r>
      <w:r w:rsidR="00844653">
        <w:t xml:space="preserve"> </w:t>
      </w:r>
    </w:p>
    <w:p w14:paraId="0808B797" w14:textId="75D86C8A" w:rsidR="00B97015" w:rsidRPr="00B97015" w:rsidRDefault="00844653" w:rsidP="007F52F8">
      <w:pPr>
        <w:pStyle w:val="ListParagraph"/>
        <w:ind w:left="360"/>
        <w:jc w:val="both"/>
      </w:pPr>
      <w:r w:rsidRPr="00B97015">
        <w:t>S</w:t>
      </w:r>
      <w:r w:rsidR="00B97015" w:rsidRPr="00B97015">
        <w:t>takeholders</w:t>
      </w:r>
      <w:r>
        <w:t>, c</w:t>
      </w:r>
      <w:r w:rsidR="00B97015" w:rsidRPr="00B97015">
        <w:t>onsult</w:t>
      </w:r>
      <w:r>
        <w:t>ing</w:t>
      </w:r>
      <w:r w:rsidR="00B97015" w:rsidRPr="00B97015">
        <w:t xml:space="preserve"> and collaborat</w:t>
      </w:r>
      <w:r>
        <w:t>ing</w:t>
      </w:r>
      <w:r w:rsidR="00B97015" w:rsidRPr="00B97015">
        <w:t xml:space="preserve"> with</w:t>
      </w:r>
      <w:r>
        <w:t xml:space="preserve"> </w:t>
      </w:r>
      <w:r w:rsidR="00B97015" w:rsidRPr="00B97015">
        <w:t>data providers, service providers, and data users.</w:t>
      </w:r>
    </w:p>
    <w:p w14:paraId="5177D09B" w14:textId="559C9BFA" w:rsidR="00B97015" w:rsidRPr="00B97015" w:rsidRDefault="00B97015" w:rsidP="007F52F8">
      <w:pPr>
        <w:pStyle w:val="ListParagraph"/>
        <w:numPr>
          <w:ilvl w:val="0"/>
          <w:numId w:val="17"/>
        </w:numPr>
        <w:jc w:val="both"/>
      </w:pPr>
      <w:r w:rsidRPr="00B97015">
        <w:t>Ensures data and information provided to users is robust,</w:t>
      </w:r>
      <w:r w:rsidR="00844653">
        <w:t xml:space="preserve"> </w:t>
      </w:r>
      <w:r w:rsidRPr="00B97015">
        <w:t>accurate, and available</w:t>
      </w:r>
      <w:r w:rsidR="00844653">
        <w:t xml:space="preserve"> </w:t>
      </w:r>
      <w:r w:rsidRPr="00B97015">
        <w:t>in a timely manner.</w:t>
      </w:r>
    </w:p>
    <w:p w14:paraId="7C8A9F59" w14:textId="5224C526" w:rsidR="00B97015" w:rsidRDefault="00B97015" w:rsidP="007F52F8">
      <w:pPr>
        <w:pStyle w:val="ListParagraph"/>
        <w:numPr>
          <w:ilvl w:val="0"/>
          <w:numId w:val="17"/>
        </w:numPr>
        <w:jc w:val="both"/>
      </w:pPr>
      <w:r w:rsidRPr="00B97015">
        <w:t>Assists</w:t>
      </w:r>
      <w:r w:rsidR="00844653">
        <w:t xml:space="preserve"> </w:t>
      </w:r>
      <w:r w:rsidRPr="00B97015">
        <w:t>in</w:t>
      </w:r>
      <w:r w:rsidR="00844653">
        <w:t xml:space="preserve"> </w:t>
      </w:r>
      <w:r w:rsidRPr="00B97015">
        <w:t>managing</w:t>
      </w:r>
      <w:r w:rsidR="00844653">
        <w:t xml:space="preserve"> </w:t>
      </w:r>
      <w:r w:rsidRPr="00B97015">
        <w:t>user</w:t>
      </w:r>
      <w:r w:rsidR="00844653">
        <w:t xml:space="preserve"> </w:t>
      </w:r>
      <w:r w:rsidRPr="00B97015">
        <w:t>inquiries</w:t>
      </w:r>
      <w:r w:rsidR="00844653">
        <w:t xml:space="preserve"> </w:t>
      </w:r>
      <w:r w:rsidRPr="00B97015">
        <w:t>and</w:t>
      </w:r>
      <w:r w:rsidR="00844653">
        <w:t xml:space="preserve"> </w:t>
      </w:r>
      <w:r w:rsidRPr="00B97015">
        <w:t>requests</w:t>
      </w:r>
      <w:r w:rsidR="00844653">
        <w:t xml:space="preserve"> </w:t>
      </w:r>
      <w:r w:rsidRPr="00B97015">
        <w:t>relating</w:t>
      </w:r>
      <w:r w:rsidR="00844653">
        <w:t xml:space="preserve"> </w:t>
      </w:r>
      <w:r w:rsidRPr="00B97015">
        <w:t>to</w:t>
      </w:r>
      <w:r w:rsidR="00844653">
        <w:t xml:space="preserve"> </w:t>
      </w:r>
      <w:r w:rsidRPr="00B97015">
        <w:t>data,</w:t>
      </w:r>
      <w:r w:rsidR="00844653">
        <w:t xml:space="preserve"> </w:t>
      </w:r>
      <w:r w:rsidRPr="00B97015">
        <w:t>providing</w:t>
      </w:r>
      <w:r w:rsidR="00844653">
        <w:t xml:space="preserve"> </w:t>
      </w:r>
      <w:r w:rsidRPr="00B97015">
        <w:t>technical</w:t>
      </w:r>
      <w:r w:rsidR="00844653">
        <w:t xml:space="preserve"> </w:t>
      </w:r>
      <w:r w:rsidRPr="00B97015">
        <w:t>advice,</w:t>
      </w:r>
      <w:r w:rsidR="00844653">
        <w:t xml:space="preserve"> </w:t>
      </w:r>
      <w:r w:rsidRPr="00B97015">
        <w:t>and</w:t>
      </w:r>
      <w:r w:rsidR="00844653">
        <w:t xml:space="preserve"> </w:t>
      </w:r>
      <w:r w:rsidRPr="00B97015">
        <w:t>referring</w:t>
      </w:r>
      <w:r w:rsidR="00844653">
        <w:t xml:space="preserve"> </w:t>
      </w:r>
      <w:r w:rsidRPr="00B97015">
        <w:t>queries</w:t>
      </w:r>
      <w:r w:rsidR="00844653">
        <w:t xml:space="preserve"> </w:t>
      </w:r>
      <w:r w:rsidRPr="00B97015">
        <w:t>to subject matter experts where</w:t>
      </w:r>
      <w:r w:rsidR="00844653">
        <w:t xml:space="preserve"> </w:t>
      </w:r>
      <w:r w:rsidRPr="00B97015">
        <w:t>appropriate.</w:t>
      </w:r>
    </w:p>
    <w:p w14:paraId="384DFC86" w14:textId="1C51AB56" w:rsidR="00721C5E" w:rsidRDefault="00644605" w:rsidP="009056C5">
      <w:pPr>
        <w:pStyle w:val="ListParagraph"/>
        <w:numPr>
          <w:ilvl w:val="0"/>
          <w:numId w:val="17"/>
        </w:numPr>
        <w:jc w:val="both"/>
      </w:pPr>
      <w:r>
        <w:t>Assists in the design and maintenance of relevant user documentation, including business rules definitions, data flow diagrams, data dictionaries, and toolkits for data providers and data users.</w:t>
      </w:r>
    </w:p>
    <w:p w14:paraId="5DE2F98F" w14:textId="3A9BD344" w:rsidR="009056C5" w:rsidRPr="009056C5" w:rsidRDefault="009056C5" w:rsidP="009056C5">
      <w:pPr>
        <w:pStyle w:val="ListParagraph"/>
        <w:numPr>
          <w:ilvl w:val="0"/>
          <w:numId w:val="17"/>
        </w:numPr>
        <w:jc w:val="both"/>
        <w:rPr>
          <w:color w:val="auto"/>
          <w:szCs w:val="24"/>
        </w:rPr>
      </w:pPr>
      <w:r w:rsidRPr="00B97015">
        <w:rPr>
          <w:color w:val="auto"/>
          <w:szCs w:val="24"/>
        </w:rPr>
        <w:t>Contributes to the achievement of corporate</w:t>
      </w:r>
      <w:r w:rsidR="00844653">
        <w:rPr>
          <w:color w:val="auto"/>
          <w:szCs w:val="24"/>
        </w:rPr>
        <w:t xml:space="preserve"> </w:t>
      </w:r>
      <w:r w:rsidRPr="00B97015">
        <w:rPr>
          <w:color w:val="auto"/>
          <w:szCs w:val="24"/>
        </w:rPr>
        <w:t>objectives</w:t>
      </w:r>
      <w:r w:rsidR="00844653">
        <w:rPr>
          <w:color w:val="auto"/>
          <w:szCs w:val="24"/>
        </w:rPr>
        <w:t xml:space="preserve"> </w:t>
      </w:r>
      <w:r w:rsidRPr="00B97015">
        <w:rPr>
          <w:color w:val="auto"/>
          <w:szCs w:val="24"/>
        </w:rPr>
        <w:t>by ensuring that stakeholders are dealt with in a professional and</w:t>
      </w:r>
      <w:r w:rsidR="00844653">
        <w:rPr>
          <w:color w:val="auto"/>
          <w:szCs w:val="24"/>
        </w:rPr>
        <w:t xml:space="preserve"> </w:t>
      </w:r>
      <w:r w:rsidRPr="00B97015">
        <w:rPr>
          <w:color w:val="auto"/>
          <w:szCs w:val="24"/>
        </w:rPr>
        <w:t>timely</w:t>
      </w:r>
      <w:r w:rsidR="00844653">
        <w:rPr>
          <w:color w:val="auto"/>
          <w:szCs w:val="24"/>
        </w:rPr>
        <w:t xml:space="preserve"> </w:t>
      </w:r>
      <w:r w:rsidRPr="00B97015">
        <w:rPr>
          <w:color w:val="auto"/>
          <w:szCs w:val="24"/>
        </w:rPr>
        <w:t>manner.</w:t>
      </w:r>
    </w:p>
    <w:p w14:paraId="7CB939FD" w14:textId="69427BE9" w:rsidR="00756536" w:rsidRDefault="00B97015" w:rsidP="007F52F8">
      <w:pPr>
        <w:pStyle w:val="Heading3"/>
        <w:jc w:val="both"/>
        <w:rPr>
          <w:rFonts w:cs="Arial"/>
          <w:sz w:val="24"/>
        </w:rPr>
      </w:pPr>
      <w:r>
        <w:rPr>
          <w:rFonts w:cs="Arial"/>
          <w:sz w:val="24"/>
        </w:rPr>
        <w:t>Business Support and Innovation</w:t>
      </w:r>
    </w:p>
    <w:p w14:paraId="2C761426" w14:textId="3878005F" w:rsidR="00B97015" w:rsidRPr="00B97015" w:rsidRDefault="00B97015" w:rsidP="007F52F8">
      <w:pPr>
        <w:pStyle w:val="ListParagraph"/>
        <w:numPr>
          <w:ilvl w:val="0"/>
          <w:numId w:val="25"/>
        </w:numPr>
        <w:jc w:val="both"/>
      </w:pPr>
      <w:r w:rsidRPr="00B97015">
        <w:t>Assists</w:t>
      </w:r>
      <w:r w:rsidR="00844653">
        <w:t xml:space="preserve"> </w:t>
      </w:r>
      <w:r w:rsidRPr="00B97015">
        <w:t>in</w:t>
      </w:r>
      <w:r w:rsidR="00844653">
        <w:t xml:space="preserve"> </w:t>
      </w:r>
      <w:r w:rsidRPr="00B97015">
        <w:t>developing</w:t>
      </w:r>
      <w:r w:rsidR="00844653">
        <w:t xml:space="preserve"> </w:t>
      </w:r>
      <w:r w:rsidRPr="00B97015">
        <w:t>the</w:t>
      </w:r>
      <w:r w:rsidR="00844653">
        <w:t xml:space="preserve"> </w:t>
      </w:r>
      <w:r w:rsidRPr="00B97015">
        <w:t>team’s</w:t>
      </w:r>
      <w:r w:rsidR="00844653">
        <w:t xml:space="preserve"> </w:t>
      </w:r>
      <w:r w:rsidRPr="00B97015">
        <w:t>ongoing</w:t>
      </w:r>
      <w:r w:rsidR="00844653">
        <w:t xml:space="preserve"> </w:t>
      </w:r>
      <w:r w:rsidRPr="00B97015">
        <w:t>work</w:t>
      </w:r>
      <w:r w:rsidR="00844653">
        <w:t xml:space="preserve"> </w:t>
      </w:r>
      <w:r w:rsidRPr="00B97015">
        <w:t>program</w:t>
      </w:r>
      <w:r w:rsidR="00844653">
        <w:t xml:space="preserve"> </w:t>
      </w:r>
      <w:r w:rsidRPr="00B97015">
        <w:t>by</w:t>
      </w:r>
      <w:r w:rsidR="00844653">
        <w:t xml:space="preserve"> </w:t>
      </w:r>
      <w:proofErr w:type="gramStart"/>
      <w:r w:rsidRPr="00B97015">
        <w:t>identifying,</w:t>
      </w:r>
      <w:r w:rsidR="00844653">
        <w:t xml:space="preserve"> </w:t>
      </w:r>
      <w:r w:rsidRPr="00B97015">
        <w:t>and</w:t>
      </w:r>
      <w:proofErr w:type="gramEnd"/>
      <w:r w:rsidR="00844653">
        <w:t xml:space="preserve"> </w:t>
      </w:r>
      <w:r w:rsidRPr="00B97015">
        <w:t>evaluating</w:t>
      </w:r>
      <w:r w:rsidR="00844653">
        <w:t xml:space="preserve"> </w:t>
      </w:r>
      <w:r w:rsidRPr="00B97015">
        <w:t>potential</w:t>
      </w:r>
      <w:r w:rsidR="00844653">
        <w:t xml:space="preserve"> </w:t>
      </w:r>
      <w:r w:rsidRPr="00B97015">
        <w:t>data</w:t>
      </w:r>
      <w:r w:rsidR="00844653">
        <w:t xml:space="preserve"> </w:t>
      </w:r>
      <w:r w:rsidR="00844653" w:rsidRPr="00B97015">
        <w:t>sources and</w:t>
      </w:r>
      <w:r w:rsidRPr="00B97015">
        <w:t xml:space="preserve"> provid</w:t>
      </w:r>
      <w:r w:rsidR="00844653">
        <w:t>es</w:t>
      </w:r>
      <w:r w:rsidRPr="00B97015">
        <w:t xml:space="preserve"> technical briefings to potential data providers.</w:t>
      </w:r>
    </w:p>
    <w:p w14:paraId="48EFC4DB" w14:textId="7DC03CE3" w:rsidR="00B97015" w:rsidRDefault="00B97015" w:rsidP="007F52F8">
      <w:pPr>
        <w:pStyle w:val="ListParagraph"/>
        <w:numPr>
          <w:ilvl w:val="0"/>
          <w:numId w:val="25"/>
        </w:numPr>
        <w:jc w:val="both"/>
      </w:pPr>
      <w:r w:rsidRPr="00B97015">
        <w:lastRenderedPageBreak/>
        <w:t>Contributes</w:t>
      </w:r>
      <w:r w:rsidR="00844653">
        <w:t xml:space="preserve"> </w:t>
      </w:r>
      <w:r w:rsidRPr="00B97015">
        <w:t>to</w:t>
      </w:r>
      <w:r w:rsidR="00844653">
        <w:t xml:space="preserve"> </w:t>
      </w:r>
      <w:r w:rsidRPr="00B97015">
        <w:t>the</w:t>
      </w:r>
      <w:r w:rsidR="00844653">
        <w:t xml:space="preserve"> </w:t>
      </w:r>
      <w:r w:rsidRPr="00B97015">
        <w:t>identification</w:t>
      </w:r>
      <w:r w:rsidR="00844653">
        <w:t xml:space="preserve"> </w:t>
      </w:r>
      <w:r w:rsidRPr="00B97015">
        <w:t>of</w:t>
      </w:r>
      <w:r w:rsidR="00844653">
        <w:t xml:space="preserve"> </w:t>
      </w:r>
      <w:r w:rsidRPr="00B97015">
        <w:t>process</w:t>
      </w:r>
      <w:r w:rsidR="00844653">
        <w:t xml:space="preserve"> </w:t>
      </w:r>
      <w:r w:rsidRPr="00B97015">
        <w:t>improvements,</w:t>
      </w:r>
      <w:r w:rsidR="00844653">
        <w:t xml:space="preserve"> </w:t>
      </w:r>
      <w:r w:rsidRPr="00B97015">
        <w:t>emerging</w:t>
      </w:r>
      <w:r w:rsidR="00844653">
        <w:t xml:space="preserve"> </w:t>
      </w:r>
      <w:r w:rsidRPr="00B97015">
        <w:t>technologies,</w:t>
      </w:r>
      <w:r w:rsidR="00844653">
        <w:t xml:space="preserve"> </w:t>
      </w:r>
      <w:r w:rsidR="00644605" w:rsidRPr="00B97015">
        <w:t>and other</w:t>
      </w:r>
      <w:r w:rsidR="00844653">
        <w:t xml:space="preserve"> </w:t>
      </w:r>
      <w:r w:rsidRPr="00B97015">
        <w:t>opportunities</w:t>
      </w:r>
      <w:r w:rsidR="00844653">
        <w:t xml:space="preserve"> </w:t>
      </w:r>
      <w:r w:rsidRPr="00B97015">
        <w:t>that enhance the performance and capability of the team.</w:t>
      </w:r>
    </w:p>
    <w:p w14:paraId="5D90228B" w14:textId="77777777" w:rsidR="009056C5" w:rsidRPr="00B97015" w:rsidRDefault="009056C5" w:rsidP="009056C5">
      <w:pPr>
        <w:pStyle w:val="ListParagraph"/>
        <w:ind w:left="360"/>
        <w:jc w:val="both"/>
      </w:pPr>
    </w:p>
    <w:p w14:paraId="32AF7670" w14:textId="18068077" w:rsidR="00756536" w:rsidRPr="00070651" w:rsidRDefault="00F167A5" w:rsidP="007F52F8">
      <w:pPr>
        <w:pStyle w:val="Heading2"/>
        <w:spacing w:before="0"/>
        <w:jc w:val="both"/>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4AE31339" w:rsidR="00F167A5" w:rsidRDefault="00F167A5" w:rsidP="007F52F8">
      <w:pPr>
        <w:pStyle w:val="ListParagraph"/>
        <w:numPr>
          <w:ilvl w:val="0"/>
          <w:numId w:val="18"/>
        </w:numPr>
        <w:ind w:left="360" w:hanging="360"/>
        <w:jc w:val="both"/>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7F52F8">
      <w:pPr>
        <w:pStyle w:val="ListParagraph"/>
        <w:numPr>
          <w:ilvl w:val="0"/>
          <w:numId w:val="18"/>
        </w:numPr>
        <w:ind w:left="360" w:hanging="360"/>
        <w:jc w:val="both"/>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35D5D886" w14:textId="4FB8A3FB" w:rsidR="00564854" w:rsidRDefault="00F167A5" w:rsidP="00564854">
      <w:pPr>
        <w:pStyle w:val="ListParagraph"/>
        <w:numPr>
          <w:ilvl w:val="0"/>
          <w:numId w:val="18"/>
        </w:numPr>
        <w:ind w:left="360" w:hanging="360"/>
        <w:jc w:val="both"/>
        <w:rPr>
          <w:color w:val="auto"/>
          <w:szCs w:val="24"/>
        </w:rPr>
      </w:pPr>
      <w:r w:rsidRPr="0098212A">
        <w:rPr>
          <w:color w:val="auto"/>
          <w:szCs w:val="24"/>
        </w:rPr>
        <w:t>Undertakes other duties as required.</w:t>
      </w:r>
    </w:p>
    <w:p w14:paraId="369EF830" w14:textId="77777777" w:rsidR="009056C5" w:rsidRPr="00564854" w:rsidRDefault="009056C5" w:rsidP="009056C5">
      <w:pPr>
        <w:pStyle w:val="ListParagraph"/>
        <w:ind w:left="360"/>
        <w:jc w:val="both"/>
        <w:rPr>
          <w:color w:val="auto"/>
          <w:szCs w:val="24"/>
        </w:rPr>
      </w:pPr>
    </w:p>
    <w:p w14:paraId="45B80AB7" w14:textId="7FE957AF" w:rsidR="00564854" w:rsidRPr="00564854" w:rsidRDefault="00564854" w:rsidP="00564854">
      <w:pPr>
        <w:spacing w:before="240"/>
        <w:rPr>
          <w:rFonts w:eastAsiaTheme="majorEastAsia" w:cs="Times New Roman (Headings CS)"/>
          <w:b/>
          <w:color w:val="CC5733"/>
        </w:rPr>
      </w:pPr>
      <w:r w:rsidRPr="00564854">
        <w:rPr>
          <w:rFonts w:eastAsiaTheme="majorEastAsia" w:cs="Times New Roman (Headings CS)"/>
          <w:b/>
          <w:color w:val="CC5733"/>
        </w:rPr>
        <w:t>Building Leadership Impact</w:t>
      </w:r>
    </w:p>
    <w:p w14:paraId="66577F35" w14:textId="17899466" w:rsidR="00564854" w:rsidRDefault="00564854" w:rsidP="00564854">
      <w:pPr>
        <w:autoSpaceDE w:val="0"/>
        <w:autoSpaceDN w:val="0"/>
        <w:adjustRightInd w:val="0"/>
        <w:spacing w:before="120"/>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564854">
          <w:rPr>
            <w:rStyle w:val="Hyperlink"/>
            <w:color w:val="6AA388"/>
          </w:rPr>
          <w:t>Building Leadership Impact</w:t>
        </w:r>
      </w:hyperlink>
      <w:r w:rsidRPr="00957200">
        <w:t xml:space="preserve"> and described fully in </w:t>
      </w:r>
      <w:hyperlink r:id="rId12" w:history="1">
        <w:r w:rsidRPr="00564854">
          <w:rPr>
            <w:rStyle w:val="Hyperlink"/>
            <w:color w:val="6AA388"/>
          </w:rPr>
          <w:t>Leadership Expectations</w:t>
        </w:r>
      </w:hyperlink>
      <w:r w:rsidRPr="00957200">
        <w:t xml:space="preserve">. The leadership context of this position is </w:t>
      </w:r>
      <w:hyperlink r:id="rId13" w:history="1">
        <w:r w:rsidR="009056C5" w:rsidRPr="009056C5">
          <w:rPr>
            <w:rStyle w:val="Hyperlink"/>
          </w:rPr>
          <w:t>Personal Leadership</w:t>
        </w:r>
      </w:hyperlink>
      <w:r w:rsidRPr="00957200">
        <w:t xml:space="preserve"> and there are opportunities for professional development and growth</w:t>
      </w:r>
      <w:r w:rsidRPr="00564854">
        <w:rPr>
          <w:color w:val="000000"/>
        </w:rPr>
        <w:t>.</w:t>
      </w:r>
    </w:p>
    <w:p w14:paraId="53311947" w14:textId="42418351" w:rsidR="00B646FB" w:rsidRDefault="007421AD" w:rsidP="007F52F8">
      <w:pPr>
        <w:pStyle w:val="Heading2"/>
        <w:jc w:val="both"/>
        <w:rPr>
          <w:sz w:val="24"/>
          <w:szCs w:val="24"/>
        </w:rPr>
      </w:pPr>
      <w:r>
        <w:rPr>
          <w:sz w:val="24"/>
          <w:szCs w:val="24"/>
        </w:rPr>
        <w:t>Work Related Capabilities (Selection Criteria)</w:t>
      </w:r>
    </w:p>
    <w:p w14:paraId="1EC791DA" w14:textId="03F4248F" w:rsidR="00B97015" w:rsidRPr="00B97015" w:rsidRDefault="00B97015" w:rsidP="007F52F8">
      <w:pPr>
        <w:spacing w:before="240"/>
        <w:jc w:val="both"/>
        <w:rPr>
          <w:b/>
          <w:bCs/>
        </w:rPr>
      </w:pPr>
      <w:r>
        <w:rPr>
          <w:b/>
          <w:bCs/>
        </w:rPr>
        <w:t>Essential</w:t>
      </w:r>
    </w:p>
    <w:p w14:paraId="3A481314" w14:textId="4D961E4B" w:rsidR="00B97015" w:rsidRPr="00844653" w:rsidRDefault="00B97015" w:rsidP="003F6196">
      <w:pPr>
        <w:pStyle w:val="ListParagraph"/>
        <w:numPr>
          <w:ilvl w:val="0"/>
          <w:numId w:val="38"/>
        </w:numPr>
      </w:pPr>
      <w:r w:rsidRPr="00844653">
        <w:t>Experience</w:t>
      </w:r>
      <w:r w:rsidR="00295134">
        <w:t xml:space="preserve"> </w:t>
      </w:r>
      <w:r w:rsidRPr="00844653">
        <w:t>in</w:t>
      </w:r>
      <w:r w:rsidR="00295134">
        <w:t xml:space="preserve"> </w:t>
      </w:r>
      <w:r w:rsidRPr="00844653">
        <w:t>contemporary</w:t>
      </w:r>
      <w:r w:rsidR="00295134">
        <w:t xml:space="preserve"> data </w:t>
      </w:r>
      <w:r w:rsidRPr="00844653">
        <w:t>management</w:t>
      </w:r>
      <w:r w:rsidR="00295134">
        <w:t xml:space="preserve"> </w:t>
      </w:r>
      <w:r w:rsidRPr="00844653">
        <w:t>across</w:t>
      </w:r>
      <w:r w:rsidR="00295134">
        <w:t xml:space="preserve"> </w:t>
      </w:r>
      <w:r w:rsidRPr="00844653">
        <w:t>one</w:t>
      </w:r>
      <w:r w:rsidR="00295134">
        <w:t xml:space="preserve"> </w:t>
      </w:r>
      <w:r w:rsidRPr="00844653">
        <w:t>or</w:t>
      </w:r>
      <w:r w:rsidR="00295134">
        <w:t xml:space="preserve"> </w:t>
      </w:r>
      <w:r w:rsidRPr="00844653">
        <w:t>more</w:t>
      </w:r>
      <w:r w:rsidR="00295134">
        <w:t xml:space="preserve"> </w:t>
      </w:r>
      <w:r w:rsidR="00844653" w:rsidRPr="00844653">
        <w:t>components</w:t>
      </w:r>
      <w:r w:rsidR="00295134">
        <w:t xml:space="preserve"> </w:t>
      </w:r>
      <w:r w:rsidRPr="00844653">
        <w:t>of</w:t>
      </w:r>
      <w:r w:rsidR="00295134">
        <w:t xml:space="preserve"> </w:t>
      </w:r>
      <w:r w:rsidRPr="00844653">
        <w:t>the</w:t>
      </w:r>
      <w:r w:rsidR="00295134">
        <w:t xml:space="preserve"> </w:t>
      </w:r>
      <w:r w:rsidRPr="00844653">
        <w:t>data life cycle,</w:t>
      </w:r>
      <w:r w:rsidR="00295134">
        <w:t xml:space="preserve"> </w:t>
      </w:r>
      <w:r w:rsidR="00844653">
        <w:t>including</w:t>
      </w:r>
      <w:r w:rsidR="00295134">
        <w:t xml:space="preserve"> </w:t>
      </w:r>
      <w:r w:rsidRPr="00844653">
        <w:t>data ingestion, transformation, data quality assurance, application of data standards, and data delivery.</w:t>
      </w:r>
      <w:r w:rsidR="00844653">
        <w:t xml:space="preserve"> </w:t>
      </w:r>
    </w:p>
    <w:p w14:paraId="7A10BE9A" w14:textId="36DAB9E7" w:rsidR="00B97015" w:rsidRPr="00844653" w:rsidRDefault="00644605" w:rsidP="003F6196">
      <w:pPr>
        <w:pStyle w:val="ListParagraph"/>
        <w:numPr>
          <w:ilvl w:val="0"/>
          <w:numId w:val="38"/>
        </w:numPr>
      </w:pPr>
      <w:r w:rsidRPr="00844653">
        <w:t>Demonstrated ability to work collaboratively with</w:t>
      </w:r>
      <w:r w:rsidR="00844653">
        <w:t>in</w:t>
      </w:r>
      <w:r w:rsidRPr="00844653">
        <w:t xml:space="preserve"> a multidisciplinary team to deliver data management outcomes.</w:t>
      </w:r>
    </w:p>
    <w:p w14:paraId="6F6D2010" w14:textId="5094894E" w:rsidR="00B97015" w:rsidRPr="00844653" w:rsidRDefault="00B97015" w:rsidP="003F6196">
      <w:pPr>
        <w:pStyle w:val="ListParagraph"/>
        <w:numPr>
          <w:ilvl w:val="0"/>
          <w:numId w:val="38"/>
        </w:numPr>
      </w:pPr>
      <w:r w:rsidRPr="00844653">
        <w:t>Demonstrated</w:t>
      </w:r>
      <w:r w:rsidR="00295134">
        <w:t xml:space="preserve"> </w:t>
      </w:r>
      <w:r w:rsidRPr="00844653">
        <w:t>ability</w:t>
      </w:r>
      <w:r w:rsidR="00295134">
        <w:t xml:space="preserve"> </w:t>
      </w:r>
      <w:r w:rsidRPr="00844653">
        <w:t>to</w:t>
      </w:r>
      <w:r w:rsidR="00295134">
        <w:t xml:space="preserve"> </w:t>
      </w:r>
      <w:r w:rsidR="00844653">
        <w:t xml:space="preserve">use </w:t>
      </w:r>
      <w:r w:rsidRPr="00844653">
        <w:t>interpersonal,</w:t>
      </w:r>
      <w:r w:rsidR="00295134">
        <w:t xml:space="preserve"> </w:t>
      </w:r>
      <w:r w:rsidRPr="00844653">
        <w:t>communication,</w:t>
      </w:r>
      <w:r w:rsidR="00295134">
        <w:t xml:space="preserve"> </w:t>
      </w:r>
      <w:r w:rsidRPr="00844653">
        <w:t>and</w:t>
      </w:r>
      <w:r w:rsidR="00295134">
        <w:t xml:space="preserve"> </w:t>
      </w:r>
      <w:r w:rsidRPr="00844653">
        <w:t>negotiation</w:t>
      </w:r>
      <w:r w:rsidR="00295134">
        <w:t xml:space="preserve"> </w:t>
      </w:r>
      <w:r w:rsidRPr="00844653">
        <w:t>skills</w:t>
      </w:r>
      <w:r w:rsidR="00295134">
        <w:t xml:space="preserve"> </w:t>
      </w:r>
      <w:r w:rsidRPr="00844653">
        <w:t>to</w:t>
      </w:r>
      <w:r w:rsidR="00295134">
        <w:t xml:space="preserve"> </w:t>
      </w:r>
      <w:r w:rsidR="00844653">
        <w:t>build</w:t>
      </w:r>
      <w:r w:rsidR="00295134">
        <w:t xml:space="preserve"> </w:t>
      </w:r>
      <w:r w:rsidRPr="00844653">
        <w:t xml:space="preserve">and maintain positive working relationships with a </w:t>
      </w:r>
      <w:r w:rsidR="00844653">
        <w:t>wide</w:t>
      </w:r>
      <w:r w:rsidRPr="00844653">
        <w:t xml:space="preserve"> range of stakeholders.</w:t>
      </w:r>
    </w:p>
    <w:p w14:paraId="48740B69" w14:textId="3A80B711" w:rsidR="00B97015" w:rsidRPr="00844653" w:rsidRDefault="00844653" w:rsidP="003F6196">
      <w:pPr>
        <w:pStyle w:val="ListParagraph"/>
        <w:numPr>
          <w:ilvl w:val="0"/>
          <w:numId w:val="38"/>
        </w:numPr>
      </w:pPr>
      <w:r>
        <w:t>Strong</w:t>
      </w:r>
      <w:r w:rsidR="00644605" w:rsidRPr="00844653">
        <w:t xml:space="preserve"> conceptual, analytical, and problem-solving </w:t>
      </w:r>
      <w:r>
        <w:t>skills</w:t>
      </w:r>
      <w:r w:rsidR="00644605" w:rsidRPr="00844653">
        <w:t xml:space="preserve"> relating to the management of datasets.</w:t>
      </w:r>
    </w:p>
    <w:p w14:paraId="5B391516" w14:textId="77777777" w:rsidR="00295134" w:rsidRPr="00B97015" w:rsidRDefault="00295134" w:rsidP="003F6196">
      <w:pPr>
        <w:jc w:val="both"/>
        <w:rPr>
          <w:rFonts w:cs="Calibri"/>
          <w:szCs w:val="22"/>
          <w14:ligatures w14:val="standardContextual"/>
        </w:rPr>
      </w:pPr>
    </w:p>
    <w:p w14:paraId="3D907E0E" w14:textId="1B818A0A" w:rsidR="00B97015" w:rsidRPr="00B97015" w:rsidRDefault="00B97015" w:rsidP="007F52F8">
      <w:pPr>
        <w:spacing w:before="240"/>
        <w:jc w:val="both"/>
        <w:rPr>
          <w:b/>
          <w:bCs/>
        </w:rPr>
      </w:pPr>
      <w:r>
        <w:rPr>
          <w:b/>
          <w:bCs/>
        </w:rPr>
        <w:t>Desirable</w:t>
      </w:r>
    </w:p>
    <w:p w14:paraId="23A08C5E" w14:textId="7F1B010B" w:rsidR="00B97015" w:rsidRPr="00B97015" w:rsidRDefault="00B97015" w:rsidP="003F6196">
      <w:pPr>
        <w:numPr>
          <w:ilvl w:val="0"/>
          <w:numId w:val="31"/>
        </w:numPr>
      </w:pPr>
      <w:r w:rsidRPr="00B97015">
        <w:t>Experience</w:t>
      </w:r>
      <w:r w:rsidR="00295134">
        <w:t xml:space="preserve"> </w:t>
      </w:r>
      <w:r w:rsidRPr="00B97015">
        <w:t>in</w:t>
      </w:r>
      <w:r w:rsidR="00295134">
        <w:t xml:space="preserve"> </w:t>
      </w:r>
      <w:r w:rsidRPr="00B97015">
        <w:t>one</w:t>
      </w:r>
      <w:r w:rsidR="00295134">
        <w:t xml:space="preserve"> </w:t>
      </w:r>
      <w:r w:rsidRPr="00B97015">
        <w:t>of</w:t>
      </w:r>
      <w:r w:rsidR="00295134">
        <w:t xml:space="preserve"> </w:t>
      </w:r>
      <w:r w:rsidRPr="00B97015">
        <w:t>the</w:t>
      </w:r>
      <w:r w:rsidR="00295134">
        <w:t xml:space="preserve"> </w:t>
      </w:r>
      <w:r w:rsidRPr="00B97015">
        <w:t>following</w:t>
      </w:r>
      <w:r w:rsidR="00295134">
        <w:t xml:space="preserve">: </w:t>
      </w:r>
      <w:r w:rsidRPr="00B97015">
        <w:t>coding</w:t>
      </w:r>
      <w:r w:rsidR="00295134">
        <w:t xml:space="preserve"> </w:t>
      </w:r>
      <w:r w:rsidRPr="00B97015">
        <w:t>and</w:t>
      </w:r>
      <w:r w:rsidR="00295134">
        <w:t xml:space="preserve"> </w:t>
      </w:r>
      <w:r w:rsidRPr="00B97015">
        <w:t>programming</w:t>
      </w:r>
      <w:r w:rsidR="00295134">
        <w:t xml:space="preserve"> </w:t>
      </w:r>
      <w:r w:rsidRPr="00B97015">
        <w:t>languages</w:t>
      </w:r>
      <w:r w:rsidR="00295134">
        <w:t xml:space="preserve"> </w:t>
      </w:r>
      <w:r w:rsidRPr="00B97015">
        <w:t>(e.g.</w:t>
      </w:r>
      <w:r w:rsidR="00295134">
        <w:t xml:space="preserve"> </w:t>
      </w:r>
      <w:r w:rsidRPr="00B97015">
        <w:t>Python</w:t>
      </w:r>
      <w:r w:rsidR="007F52F8">
        <w:t xml:space="preserve"> </w:t>
      </w:r>
      <w:r w:rsidRPr="00B97015">
        <w:t>R,</w:t>
      </w:r>
      <w:r w:rsidR="00295134">
        <w:t xml:space="preserve"> </w:t>
      </w:r>
      <w:r w:rsidRPr="00B97015">
        <w:t>SQL),</w:t>
      </w:r>
      <w:r w:rsidR="00295134">
        <w:t xml:space="preserve"> </w:t>
      </w:r>
      <w:r w:rsidRPr="00B97015">
        <w:t>public</w:t>
      </w:r>
      <w:r w:rsidR="00295134">
        <w:t xml:space="preserve"> </w:t>
      </w:r>
      <w:r w:rsidRPr="00B97015">
        <w:t>cloud environments (AWS, Azure, or Google)</w:t>
      </w:r>
      <w:r w:rsidR="00844653">
        <w:t>;</w:t>
      </w:r>
      <w:r w:rsidRPr="00B97015">
        <w:t xml:space="preserve"> or developing</w:t>
      </w:r>
      <w:r w:rsidR="00844653">
        <w:t xml:space="preserve"> and </w:t>
      </w:r>
      <w:r w:rsidRPr="00B97015">
        <w:t>maintaining</w:t>
      </w:r>
      <w:r w:rsidR="00295134">
        <w:t xml:space="preserve"> </w:t>
      </w:r>
      <w:r w:rsidRPr="00B97015">
        <w:t>data storage platforms.</w:t>
      </w:r>
      <w:r w:rsidR="00844653">
        <w:t xml:space="preserve"> </w:t>
      </w:r>
    </w:p>
    <w:p w14:paraId="5178D9AC" w14:textId="6BD2F14C" w:rsidR="0033476B" w:rsidRDefault="00B97015" w:rsidP="003F6196">
      <w:pPr>
        <w:numPr>
          <w:ilvl w:val="0"/>
          <w:numId w:val="31"/>
        </w:numPr>
      </w:pPr>
      <w:r w:rsidRPr="00B97015">
        <w:t>Relevant</w:t>
      </w:r>
      <w:r w:rsidR="00295134">
        <w:t xml:space="preserve"> </w:t>
      </w:r>
      <w:r w:rsidRPr="00B97015">
        <w:t>tertiary</w:t>
      </w:r>
      <w:r w:rsidR="00295134">
        <w:t xml:space="preserve"> </w:t>
      </w:r>
      <w:r w:rsidRPr="00B97015">
        <w:t>qualifications</w:t>
      </w:r>
      <w:r w:rsidR="00295134">
        <w:t xml:space="preserve"> </w:t>
      </w:r>
      <w:r w:rsidRPr="00B97015">
        <w:t>and/or</w:t>
      </w:r>
      <w:r w:rsidR="00295134">
        <w:t xml:space="preserve"> </w:t>
      </w:r>
      <w:r w:rsidRPr="00B97015">
        <w:t>industry</w:t>
      </w:r>
      <w:r w:rsidR="00295134">
        <w:t xml:space="preserve"> </w:t>
      </w:r>
      <w:r w:rsidRPr="00B97015">
        <w:t>certifications.</w:t>
      </w:r>
      <w:r w:rsidR="00844653">
        <w:t xml:space="preserve"> </w:t>
      </w:r>
    </w:p>
    <w:p w14:paraId="142ADAC2" w14:textId="77777777" w:rsidR="00644605" w:rsidRDefault="00644605" w:rsidP="007F52F8">
      <w:pPr>
        <w:jc w:val="both"/>
      </w:pPr>
    </w:p>
    <w:p w14:paraId="268B2915" w14:textId="0D12B51B" w:rsidR="00631D31" w:rsidRPr="00D007E3" w:rsidRDefault="009514B1" w:rsidP="007F52F8">
      <w:pPr>
        <w:jc w:val="both"/>
      </w:pPr>
      <w:r>
        <w:lastRenderedPageBreak/>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7F52F8">
      <w:pPr>
        <w:jc w:val="both"/>
      </w:pPr>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36A65E7D" w14:textId="77777777" w:rsidR="009056C5" w:rsidRDefault="009056C5" w:rsidP="007F52F8">
      <w:pPr>
        <w:pStyle w:val="Heading1"/>
        <w:spacing w:before="0"/>
        <w:jc w:val="both"/>
        <w:rPr>
          <w:sz w:val="24"/>
          <w:szCs w:val="24"/>
        </w:rPr>
      </w:pPr>
    </w:p>
    <w:p w14:paraId="6D4F21E1" w14:textId="1FD7D8D6" w:rsidR="005A2701" w:rsidRPr="00070651" w:rsidRDefault="005A2701" w:rsidP="007F52F8">
      <w:pPr>
        <w:pStyle w:val="Heading1"/>
        <w:spacing w:before="0"/>
        <w:jc w:val="both"/>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7F52F8">
            <w:pPr>
              <w:pStyle w:val="Heading3"/>
              <w:spacing w:before="0"/>
              <w:ind w:left="-113"/>
              <w:jc w:val="both"/>
              <w:rPr>
                <w:sz w:val="24"/>
              </w:rPr>
            </w:pPr>
            <w:r w:rsidRPr="00070651">
              <w:rPr>
                <w:sz w:val="24"/>
              </w:rPr>
              <w:t>Authorising</w:t>
            </w:r>
            <w:r w:rsidR="005A2701" w:rsidRPr="00070651">
              <w:rPr>
                <w:sz w:val="24"/>
              </w:rPr>
              <w:t xml:space="preserve"> Signature:</w:t>
            </w:r>
          </w:p>
          <w:p w14:paraId="3884FF37" w14:textId="15ACB217" w:rsidR="004B2309" w:rsidRDefault="001838C3" w:rsidP="007F52F8">
            <w:pPr>
              <w:jc w:val="both"/>
            </w:pPr>
            <w:r>
              <w:rPr>
                <w:noProof/>
              </w:rPr>
              <w:drawing>
                <wp:inline distT="0" distB="0" distL="0" distR="0" wp14:anchorId="1D38E8A3" wp14:editId="485CE792">
                  <wp:extent cx="923925" cy="779797"/>
                  <wp:effectExtent l="0" t="0" r="0" b="1270"/>
                  <wp:docPr id="1108967372" name="Picture 1"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67372" name="Picture 1" descr="A black line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6754" cy="782185"/>
                          </a:xfrm>
                          <a:prstGeom prst="rect">
                            <a:avLst/>
                          </a:prstGeom>
                        </pic:spPr>
                      </pic:pic>
                    </a:graphicData>
                  </a:graphic>
                </wp:inline>
              </w:drawing>
            </w:r>
          </w:p>
          <w:p w14:paraId="019B14E0" w14:textId="55D2C1C9" w:rsidR="002F64E9" w:rsidRPr="00C201F1" w:rsidRDefault="002F64E9" w:rsidP="007F52F8">
            <w:pPr>
              <w:jc w:val="both"/>
            </w:pPr>
          </w:p>
        </w:tc>
        <w:tc>
          <w:tcPr>
            <w:tcW w:w="1701" w:type="dxa"/>
          </w:tcPr>
          <w:p w14:paraId="68C4626E" w14:textId="77777777" w:rsidR="005A2701" w:rsidRDefault="005A2701" w:rsidP="007F52F8">
            <w:pPr>
              <w:jc w:val="both"/>
              <w:rPr>
                <w:rFonts w:ascii="Neue Haas Grotesk Text Pro" w:hAnsi="Neue Haas Grotesk Text Pro"/>
                <w:b/>
              </w:rPr>
            </w:pPr>
          </w:p>
          <w:p w14:paraId="357C8B40" w14:textId="77777777" w:rsidR="002F64E9" w:rsidRPr="005A2701" w:rsidRDefault="002F64E9" w:rsidP="007F52F8">
            <w:pPr>
              <w:jc w:val="both"/>
              <w:rPr>
                <w:rFonts w:ascii="Neue Haas Grotesk Text Pro" w:hAnsi="Neue Haas Grotesk Text Pro"/>
                <w:b/>
              </w:rPr>
            </w:pPr>
          </w:p>
        </w:tc>
        <w:tc>
          <w:tcPr>
            <w:tcW w:w="3119" w:type="dxa"/>
          </w:tcPr>
          <w:p w14:paraId="34BAEF2E" w14:textId="77777777" w:rsidR="005A2701" w:rsidRDefault="002F64E9" w:rsidP="007F52F8">
            <w:pPr>
              <w:pStyle w:val="Heading3"/>
              <w:spacing w:before="0"/>
              <w:jc w:val="both"/>
              <w:rPr>
                <w:sz w:val="24"/>
                <w:szCs w:val="22"/>
              </w:rPr>
            </w:pPr>
            <w:r w:rsidRPr="002F64E9">
              <w:rPr>
                <w:sz w:val="24"/>
                <w:szCs w:val="22"/>
              </w:rPr>
              <w:t>People Services:</w:t>
            </w:r>
          </w:p>
          <w:p w14:paraId="05F6E0BC" w14:textId="2387FD12" w:rsidR="007B1C66" w:rsidRPr="007B1C66" w:rsidRDefault="007B1C66" w:rsidP="007B1C66">
            <w:r>
              <w:rPr>
                <w:noProof/>
              </w:rPr>
              <w:drawing>
                <wp:inline distT="0" distB="0" distL="0" distR="0" wp14:anchorId="3304633F" wp14:editId="346B8936">
                  <wp:extent cx="1843405" cy="519627"/>
                  <wp:effectExtent l="0" t="0" r="4445" b="0"/>
                  <wp:docPr id="1598178301"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78301" name="Picture 1" descr="A close up of a signature&#10;&#10;AI-generated content may be incorrect."/>
                          <pic:cNvPicPr/>
                        </pic:nvPicPr>
                        <pic:blipFill>
                          <a:blip r:embed="rId15" cstate="print">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843405" cy="519627"/>
                          </a:xfrm>
                          <a:prstGeom prst="rect">
                            <a:avLst/>
                          </a:prstGeom>
                        </pic:spPr>
                      </pic:pic>
                    </a:graphicData>
                  </a:graphic>
                </wp:inline>
              </w:drawing>
            </w:r>
          </w:p>
        </w:tc>
        <w:tc>
          <w:tcPr>
            <w:tcW w:w="1277" w:type="dxa"/>
          </w:tcPr>
          <w:p w14:paraId="6B183A00" w14:textId="77777777" w:rsidR="005A2701" w:rsidRPr="005A2701" w:rsidRDefault="005A2701" w:rsidP="007F52F8">
            <w:pPr>
              <w:jc w:val="both"/>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6D8BF647" w:rsidR="005A2701" w:rsidRPr="00070651" w:rsidRDefault="00AC73F2" w:rsidP="007F52F8">
            <w:pPr>
              <w:pStyle w:val="Heading3"/>
              <w:spacing w:before="0"/>
              <w:ind w:hanging="113"/>
              <w:jc w:val="both"/>
              <w:rPr>
                <w:sz w:val="24"/>
              </w:rPr>
            </w:pPr>
            <w:r w:rsidRPr="00070651">
              <w:rPr>
                <w:sz w:val="24"/>
              </w:rPr>
              <w:t>D</w:t>
            </w:r>
            <w:r w:rsidR="005A2701" w:rsidRPr="00070651">
              <w:rPr>
                <w:sz w:val="24"/>
              </w:rPr>
              <w:t>ate:</w:t>
            </w:r>
            <w:r w:rsidR="001838C3">
              <w:rPr>
                <w:sz w:val="24"/>
              </w:rPr>
              <w:t xml:space="preserve"> 19 January 2026</w:t>
            </w:r>
          </w:p>
        </w:tc>
        <w:tc>
          <w:tcPr>
            <w:tcW w:w="1701" w:type="dxa"/>
          </w:tcPr>
          <w:p w14:paraId="3344B80E" w14:textId="77777777" w:rsidR="005A2701" w:rsidRDefault="005A2701" w:rsidP="007F52F8">
            <w:pPr>
              <w:jc w:val="both"/>
              <w:rPr>
                <w:rFonts w:ascii="Neue Haas Grotesk Text Pro" w:hAnsi="Neue Haas Grotesk Text Pro"/>
                <w:b/>
              </w:rPr>
            </w:pPr>
          </w:p>
          <w:p w14:paraId="2C6EABD3" w14:textId="77777777" w:rsidR="004B2309" w:rsidRPr="005A2701" w:rsidRDefault="004B2309" w:rsidP="007F52F8">
            <w:pPr>
              <w:jc w:val="both"/>
              <w:rPr>
                <w:rFonts w:ascii="Neue Haas Grotesk Text Pro" w:hAnsi="Neue Haas Grotesk Text Pro"/>
                <w:b/>
              </w:rPr>
            </w:pPr>
          </w:p>
        </w:tc>
        <w:tc>
          <w:tcPr>
            <w:tcW w:w="3119" w:type="dxa"/>
          </w:tcPr>
          <w:p w14:paraId="2CC297B8" w14:textId="6FB9E5B7" w:rsidR="005A2701" w:rsidRPr="005A2701" w:rsidRDefault="002F64E9" w:rsidP="007F52F8">
            <w:pPr>
              <w:pStyle w:val="Heading3"/>
              <w:spacing w:before="0"/>
              <w:jc w:val="both"/>
            </w:pPr>
            <w:r w:rsidRPr="002F64E9">
              <w:rPr>
                <w:sz w:val="24"/>
                <w:szCs w:val="22"/>
              </w:rPr>
              <w:t>Date:</w:t>
            </w:r>
            <w:r w:rsidR="00DD64B8">
              <w:rPr>
                <w:sz w:val="24"/>
                <w:szCs w:val="22"/>
              </w:rPr>
              <w:t xml:space="preserve"> 19 January 2026</w:t>
            </w:r>
          </w:p>
        </w:tc>
        <w:tc>
          <w:tcPr>
            <w:tcW w:w="1277" w:type="dxa"/>
          </w:tcPr>
          <w:p w14:paraId="40432E0F" w14:textId="77777777" w:rsidR="005A2701" w:rsidRPr="005A2701" w:rsidRDefault="005A2701" w:rsidP="007F52F8">
            <w:pPr>
              <w:jc w:val="both"/>
              <w:rPr>
                <w:rFonts w:ascii="Neue Haas Grotesk Text Pro" w:hAnsi="Neue Haas Grotesk Text Pro"/>
                <w:b/>
              </w:rPr>
            </w:pPr>
          </w:p>
        </w:tc>
      </w:tr>
    </w:tbl>
    <w:p w14:paraId="48A53E74" w14:textId="77777777" w:rsidR="00756536" w:rsidRPr="00D007E3" w:rsidRDefault="00756536" w:rsidP="007F52F8">
      <w:pPr>
        <w:jc w:val="both"/>
        <w:rPr>
          <w:rFonts w:ascii="Neue Haas Grotesk Text Pro" w:hAnsi="Neue Haas Grotesk Text Pro"/>
        </w:rPr>
      </w:pPr>
    </w:p>
    <w:sectPr w:rsidR="00756536" w:rsidRPr="00D007E3" w:rsidSect="00280C06">
      <w:headerReference w:type="default" r:id="rId17"/>
      <w:footerReference w:type="even" r:id="rId18"/>
      <w:footerReference w:type="default" r:id="rId19"/>
      <w:headerReference w:type="first" r:id="rId20"/>
      <w:footerReference w:type="first" r:id="rId21"/>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3BA0" w14:textId="77777777" w:rsidR="0049273E" w:rsidRDefault="0049273E" w:rsidP="00756536">
      <w:pPr>
        <w:spacing w:after="0" w:line="240" w:lineRule="auto"/>
      </w:pPr>
      <w:r>
        <w:separator/>
      </w:r>
    </w:p>
  </w:endnote>
  <w:endnote w:type="continuationSeparator" w:id="0">
    <w:p w14:paraId="185D829E" w14:textId="77777777" w:rsidR="0049273E" w:rsidRDefault="0049273E"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7867" w14:textId="77777777" w:rsidR="0049273E" w:rsidRDefault="0049273E" w:rsidP="00756536">
      <w:pPr>
        <w:spacing w:after="0" w:line="240" w:lineRule="auto"/>
      </w:pPr>
      <w:r>
        <w:separator/>
      </w:r>
    </w:p>
  </w:footnote>
  <w:footnote w:type="continuationSeparator" w:id="0">
    <w:p w14:paraId="41546C71" w14:textId="77777777" w:rsidR="0049273E" w:rsidRDefault="0049273E"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5CC"/>
    <w:multiLevelType w:val="hybridMultilevel"/>
    <w:tmpl w:val="27682F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C0366B"/>
    <w:multiLevelType w:val="hybridMultilevel"/>
    <w:tmpl w:val="B20045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03B42"/>
    <w:multiLevelType w:val="multilevel"/>
    <w:tmpl w:val="253E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2C6889"/>
    <w:multiLevelType w:val="multilevel"/>
    <w:tmpl w:val="2F6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A19CB"/>
    <w:multiLevelType w:val="multilevel"/>
    <w:tmpl w:val="4FBC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7E3728D"/>
    <w:multiLevelType w:val="hybridMultilevel"/>
    <w:tmpl w:val="BFC8E8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DD5B0A"/>
    <w:multiLevelType w:val="hybridMultilevel"/>
    <w:tmpl w:val="8F94C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3D5D32"/>
    <w:multiLevelType w:val="multilevel"/>
    <w:tmpl w:val="3E36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52057"/>
    <w:multiLevelType w:val="multilevel"/>
    <w:tmpl w:val="B48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7374F6B"/>
    <w:multiLevelType w:val="multilevel"/>
    <w:tmpl w:val="0FC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5F1204"/>
    <w:multiLevelType w:val="hybridMultilevel"/>
    <w:tmpl w:val="A796C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CA1A5A"/>
    <w:multiLevelType w:val="multilevel"/>
    <w:tmpl w:val="27D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796F8B"/>
    <w:multiLevelType w:val="multilevel"/>
    <w:tmpl w:val="E572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002F7"/>
    <w:multiLevelType w:val="multilevel"/>
    <w:tmpl w:val="CB5E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B06053"/>
    <w:multiLevelType w:val="multilevel"/>
    <w:tmpl w:val="229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7A478E"/>
    <w:multiLevelType w:val="hybridMultilevel"/>
    <w:tmpl w:val="8BF6C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7D3AE6"/>
    <w:multiLevelType w:val="multilevel"/>
    <w:tmpl w:val="A81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0107E5"/>
    <w:multiLevelType w:val="hybridMultilevel"/>
    <w:tmpl w:val="2EC4A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BE78F9"/>
    <w:multiLevelType w:val="multilevel"/>
    <w:tmpl w:val="5D96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6" w15:restartNumberingAfterBreak="0">
    <w:nsid w:val="7E84695B"/>
    <w:multiLevelType w:val="multilevel"/>
    <w:tmpl w:val="448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8785469">
    <w:abstractNumId w:val="11"/>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25"/>
  </w:num>
  <w:num w:numId="5" w16cid:durableId="165638337">
    <w:abstractNumId w:val="20"/>
  </w:num>
  <w:num w:numId="6" w16cid:durableId="1123695853">
    <w:abstractNumId w:val="17"/>
  </w:num>
  <w:num w:numId="7" w16cid:durableId="1581137968">
    <w:abstractNumId w:val="6"/>
  </w:num>
  <w:num w:numId="8" w16cid:durableId="210381380">
    <w:abstractNumId w:val="10"/>
  </w:num>
  <w:num w:numId="9" w16cid:durableId="1667249357">
    <w:abstractNumId w:val="35"/>
  </w:num>
  <w:num w:numId="10" w16cid:durableId="1636334645">
    <w:abstractNumId w:val="24"/>
  </w:num>
  <w:num w:numId="11" w16cid:durableId="1816409002">
    <w:abstractNumId w:val="15"/>
  </w:num>
  <w:num w:numId="12" w16cid:durableId="1771470451">
    <w:abstractNumId w:val="16"/>
  </w:num>
  <w:num w:numId="13" w16cid:durableId="2042582278">
    <w:abstractNumId w:val="33"/>
  </w:num>
  <w:num w:numId="14" w16cid:durableId="301085470">
    <w:abstractNumId w:val="27"/>
  </w:num>
  <w:num w:numId="15" w16cid:durableId="24185399">
    <w:abstractNumId w:val="4"/>
  </w:num>
  <w:num w:numId="16" w16cid:durableId="169490687">
    <w:abstractNumId w:val="22"/>
  </w:num>
  <w:num w:numId="17" w16cid:durableId="629700953">
    <w:abstractNumId w:val="3"/>
  </w:num>
  <w:num w:numId="18" w16cid:durableId="1341004227">
    <w:abstractNumId w:val="28"/>
  </w:num>
  <w:num w:numId="19" w16cid:durableId="225184814">
    <w:abstractNumId w:val="30"/>
  </w:num>
  <w:num w:numId="20" w16cid:durableId="2057460853">
    <w:abstractNumId w:val="12"/>
  </w:num>
  <w:num w:numId="21" w16cid:durableId="980160222">
    <w:abstractNumId w:val="7"/>
  </w:num>
  <w:num w:numId="22" w16cid:durableId="339427615">
    <w:abstractNumId w:val="36"/>
  </w:num>
  <w:num w:numId="23" w16cid:durableId="1858812052">
    <w:abstractNumId w:val="2"/>
  </w:num>
  <w:num w:numId="24" w16cid:durableId="1792017623">
    <w:abstractNumId w:val="14"/>
  </w:num>
  <w:num w:numId="25" w16cid:durableId="1372338398">
    <w:abstractNumId w:val="19"/>
  </w:num>
  <w:num w:numId="26" w16cid:durableId="1101491790">
    <w:abstractNumId w:val="23"/>
  </w:num>
  <w:num w:numId="27" w16cid:durableId="1939022670">
    <w:abstractNumId w:val="34"/>
  </w:num>
  <w:num w:numId="28" w16cid:durableId="497624166">
    <w:abstractNumId w:val="5"/>
  </w:num>
  <w:num w:numId="29" w16cid:durableId="2034573819">
    <w:abstractNumId w:val="18"/>
  </w:num>
  <w:num w:numId="30" w16cid:durableId="1878275812">
    <w:abstractNumId w:val="21"/>
  </w:num>
  <w:num w:numId="31" w16cid:durableId="802161447">
    <w:abstractNumId w:val="9"/>
  </w:num>
  <w:num w:numId="32" w16cid:durableId="205336277">
    <w:abstractNumId w:val="29"/>
  </w:num>
  <w:num w:numId="33" w16cid:durableId="478885052">
    <w:abstractNumId w:val="31"/>
  </w:num>
  <w:num w:numId="34" w16cid:durableId="784235323">
    <w:abstractNumId w:val="13"/>
  </w:num>
  <w:num w:numId="35" w16cid:durableId="1262301863">
    <w:abstractNumId w:val="26"/>
  </w:num>
  <w:num w:numId="36" w16cid:durableId="590968402">
    <w:abstractNumId w:val="0"/>
  </w:num>
  <w:num w:numId="37" w16cid:durableId="711878498">
    <w:abstractNumId w:val="32"/>
  </w:num>
  <w:num w:numId="38" w16cid:durableId="199093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51CBF"/>
    <w:rsid w:val="0006478A"/>
    <w:rsid w:val="00070651"/>
    <w:rsid w:val="00083B4F"/>
    <w:rsid w:val="000A6FA1"/>
    <w:rsid w:val="000D0AF3"/>
    <w:rsid w:val="000D0F48"/>
    <w:rsid w:val="00132369"/>
    <w:rsid w:val="001341B6"/>
    <w:rsid w:val="00145E44"/>
    <w:rsid w:val="001633FD"/>
    <w:rsid w:val="001744F5"/>
    <w:rsid w:val="001838C3"/>
    <w:rsid w:val="001A50FB"/>
    <w:rsid w:val="001B27CF"/>
    <w:rsid w:val="001B52F9"/>
    <w:rsid w:val="001B54FD"/>
    <w:rsid w:val="001B7A87"/>
    <w:rsid w:val="001B7CD1"/>
    <w:rsid w:val="00202B10"/>
    <w:rsid w:val="00204930"/>
    <w:rsid w:val="002063F9"/>
    <w:rsid w:val="002156DB"/>
    <w:rsid w:val="002342EF"/>
    <w:rsid w:val="00246EF2"/>
    <w:rsid w:val="0024718E"/>
    <w:rsid w:val="00260B8D"/>
    <w:rsid w:val="002656BC"/>
    <w:rsid w:val="00280169"/>
    <w:rsid w:val="00280C06"/>
    <w:rsid w:val="00283EB7"/>
    <w:rsid w:val="002843C7"/>
    <w:rsid w:val="002874CE"/>
    <w:rsid w:val="002937C1"/>
    <w:rsid w:val="00295134"/>
    <w:rsid w:val="002956EB"/>
    <w:rsid w:val="00296FEC"/>
    <w:rsid w:val="002B657B"/>
    <w:rsid w:val="002D3E24"/>
    <w:rsid w:val="002F64E9"/>
    <w:rsid w:val="00300C8A"/>
    <w:rsid w:val="0030375D"/>
    <w:rsid w:val="0033476B"/>
    <w:rsid w:val="003522C2"/>
    <w:rsid w:val="0036514A"/>
    <w:rsid w:val="00394896"/>
    <w:rsid w:val="003A12FE"/>
    <w:rsid w:val="003A3903"/>
    <w:rsid w:val="003A787A"/>
    <w:rsid w:val="003C1C26"/>
    <w:rsid w:val="003D0A66"/>
    <w:rsid w:val="003F6196"/>
    <w:rsid w:val="00414112"/>
    <w:rsid w:val="00422282"/>
    <w:rsid w:val="00430199"/>
    <w:rsid w:val="00430D2F"/>
    <w:rsid w:val="0043477F"/>
    <w:rsid w:val="00451463"/>
    <w:rsid w:val="00462800"/>
    <w:rsid w:val="004658EA"/>
    <w:rsid w:val="00471F7F"/>
    <w:rsid w:val="00477E21"/>
    <w:rsid w:val="0049273E"/>
    <w:rsid w:val="00494398"/>
    <w:rsid w:val="00497F38"/>
    <w:rsid w:val="004A3655"/>
    <w:rsid w:val="004A4EC3"/>
    <w:rsid w:val="004B2309"/>
    <w:rsid w:val="004C7E95"/>
    <w:rsid w:val="004E000D"/>
    <w:rsid w:val="004E1073"/>
    <w:rsid w:val="004E2FC6"/>
    <w:rsid w:val="004F457E"/>
    <w:rsid w:val="005257D4"/>
    <w:rsid w:val="00536F4B"/>
    <w:rsid w:val="00564854"/>
    <w:rsid w:val="0057229A"/>
    <w:rsid w:val="005A2699"/>
    <w:rsid w:val="005A2701"/>
    <w:rsid w:val="005E2416"/>
    <w:rsid w:val="005F483B"/>
    <w:rsid w:val="00601500"/>
    <w:rsid w:val="00631D31"/>
    <w:rsid w:val="00644605"/>
    <w:rsid w:val="00647E4B"/>
    <w:rsid w:val="00663B85"/>
    <w:rsid w:val="0068201A"/>
    <w:rsid w:val="00686F75"/>
    <w:rsid w:val="00690425"/>
    <w:rsid w:val="006963C4"/>
    <w:rsid w:val="006A1E28"/>
    <w:rsid w:val="006C1C4D"/>
    <w:rsid w:val="006C2F8C"/>
    <w:rsid w:val="006D03B1"/>
    <w:rsid w:val="006F17A8"/>
    <w:rsid w:val="00721C5E"/>
    <w:rsid w:val="00727985"/>
    <w:rsid w:val="00733555"/>
    <w:rsid w:val="007421AD"/>
    <w:rsid w:val="00746389"/>
    <w:rsid w:val="00756536"/>
    <w:rsid w:val="00763789"/>
    <w:rsid w:val="007734E6"/>
    <w:rsid w:val="0078067E"/>
    <w:rsid w:val="007A0EFF"/>
    <w:rsid w:val="007A1F18"/>
    <w:rsid w:val="007B1C66"/>
    <w:rsid w:val="007B2076"/>
    <w:rsid w:val="007D5860"/>
    <w:rsid w:val="007E7FB0"/>
    <w:rsid w:val="007F52F8"/>
    <w:rsid w:val="00814628"/>
    <w:rsid w:val="0084252E"/>
    <w:rsid w:val="00844653"/>
    <w:rsid w:val="00845D35"/>
    <w:rsid w:val="008531F0"/>
    <w:rsid w:val="00855E4A"/>
    <w:rsid w:val="00892424"/>
    <w:rsid w:val="008947AE"/>
    <w:rsid w:val="008A3F8E"/>
    <w:rsid w:val="008B02FD"/>
    <w:rsid w:val="008E0484"/>
    <w:rsid w:val="008E0DFE"/>
    <w:rsid w:val="008E36D7"/>
    <w:rsid w:val="009056C5"/>
    <w:rsid w:val="009075E2"/>
    <w:rsid w:val="009514B1"/>
    <w:rsid w:val="0095755A"/>
    <w:rsid w:val="00961CC9"/>
    <w:rsid w:val="00971722"/>
    <w:rsid w:val="009C0ED6"/>
    <w:rsid w:val="00A00DF9"/>
    <w:rsid w:val="00A2480E"/>
    <w:rsid w:val="00A254A1"/>
    <w:rsid w:val="00A274B9"/>
    <w:rsid w:val="00A40911"/>
    <w:rsid w:val="00A518E1"/>
    <w:rsid w:val="00A67063"/>
    <w:rsid w:val="00A72186"/>
    <w:rsid w:val="00A86D4C"/>
    <w:rsid w:val="00A93FF1"/>
    <w:rsid w:val="00A972A4"/>
    <w:rsid w:val="00AA416A"/>
    <w:rsid w:val="00AA4641"/>
    <w:rsid w:val="00AB687E"/>
    <w:rsid w:val="00AC584F"/>
    <w:rsid w:val="00AC73F2"/>
    <w:rsid w:val="00AE1B75"/>
    <w:rsid w:val="00AE5EBA"/>
    <w:rsid w:val="00B1554C"/>
    <w:rsid w:val="00B646FB"/>
    <w:rsid w:val="00B8027B"/>
    <w:rsid w:val="00B96037"/>
    <w:rsid w:val="00B97015"/>
    <w:rsid w:val="00BB541C"/>
    <w:rsid w:val="00BC5C3F"/>
    <w:rsid w:val="00BD1B8C"/>
    <w:rsid w:val="00C12F9A"/>
    <w:rsid w:val="00C14680"/>
    <w:rsid w:val="00C15B56"/>
    <w:rsid w:val="00C201F1"/>
    <w:rsid w:val="00C26E45"/>
    <w:rsid w:val="00C45F38"/>
    <w:rsid w:val="00C47631"/>
    <w:rsid w:val="00C54A97"/>
    <w:rsid w:val="00C639AF"/>
    <w:rsid w:val="00C86886"/>
    <w:rsid w:val="00CD00BF"/>
    <w:rsid w:val="00CD0B02"/>
    <w:rsid w:val="00CF070B"/>
    <w:rsid w:val="00D007E3"/>
    <w:rsid w:val="00D173A8"/>
    <w:rsid w:val="00D2368C"/>
    <w:rsid w:val="00D718AA"/>
    <w:rsid w:val="00D71E76"/>
    <w:rsid w:val="00D732A5"/>
    <w:rsid w:val="00D7570D"/>
    <w:rsid w:val="00D801DC"/>
    <w:rsid w:val="00D84840"/>
    <w:rsid w:val="00DB08AF"/>
    <w:rsid w:val="00DD64B8"/>
    <w:rsid w:val="00DE19F9"/>
    <w:rsid w:val="00DF1A44"/>
    <w:rsid w:val="00DF4B7C"/>
    <w:rsid w:val="00DF7BA5"/>
    <w:rsid w:val="00E02BA3"/>
    <w:rsid w:val="00E14F0F"/>
    <w:rsid w:val="00E20BE0"/>
    <w:rsid w:val="00E23326"/>
    <w:rsid w:val="00E4641B"/>
    <w:rsid w:val="00E61CE6"/>
    <w:rsid w:val="00EA11AC"/>
    <w:rsid w:val="00EB42CE"/>
    <w:rsid w:val="00EC7340"/>
    <w:rsid w:val="00ED18BE"/>
    <w:rsid w:val="00ED68B9"/>
    <w:rsid w:val="00ED7D74"/>
    <w:rsid w:val="00EE13A1"/>
    <w:rsid w:val="00EF2F5D"/>
    <w:rsid w:val="00F02587"/>
    <w:rsid w:val="00F156D2"/>
    <w:rsid w:val="00F167A5"/>
    <w:rsid w:val="00F51C71"/>
    <w:rsid w:val="00F95B4C"/>
    <w:rsid w:val="00FA1359"/>
    <w:rsid w:val="00FA7287"/>
    <w:rsid w:val="00FB2D81"/>
    <w:rsid w:val="00FB5CEB"/>
    <w:rsid w:val="00FC15AB"/>
    <w:rsid w:val="00FC62EF"/>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UnresolvedMention">
    <w:name w:val="Unresolved Mention"/>
    <w:basedOn w:val="DefaultParagraphFont"/>
    <w:uiPriority w:val="99"/>
    <w:semiHidden/>
    <w:unhideWhenUsed/>
    <w:rsid w:val="00905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3</cp:revision>
  <cp:lastPrinted>2024-03-14T05:17:00Z</cp:lastPrinted>
  <dcterms:created xsi:type="dcterms:W3CDTF">2026-01-19T05:46:00Z</dcterms:created>
  <dcterms:modified xsi:type="dcterms:W3CDTF">2026-01-22T06:01:00Z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-1711274725</vt:i4>
  </property>
  <property fmtid="{D5CDD505-2E9C-101B-9397-08002B2CF9AE}" pid="10" name="_NewReviewCycle">
    <vt:lpwstr/>
  </property>
  <property fmtid="{D5CDD505-2E9C-101B-9397-08002B2CF9AE}" pid="11" name="_EmailSubject">
    <vt:lpwstr>Classifications for Data Engineering Positions</vt:lpwstr>
  </property>
  <property fmtid="{D5CDD505-2E9C-101B-9397-08002B2CF9AE}" pid="12" name="_AuthorEmail">
    <vt:lpwstr>Natalia.Kacperek@dpc.wa.gov.au</vt:lpwstr>
  </property>
  <property fmtid="{D5CDD505-2E9C-101B-9397-08002B2CF9AE}" pid="13" name="_AuthorEmailDisplayName">
    <vt:lpwstr>Kacperek, Natalia</vt:lpwstr>
  </property>
  <property fmtid="{D5CDD505-2E9C-101B-9397-08002B2CF9AE}" pid="14" name="_PreviousAdHocReviewCycleID">
    <vt:i4>-1469456583</vt:i4>
  </property>
  <property fmtid="{D5CDD505-2E9C-101B-9397-08002B2CF9AE}" pid="15" name="ContentTypeId">
    <vt:lpwstr>0x01010070D56267112CDC4FB0D8582F58FF7CE1</vt:lpwstr>
  </property>
  <property fmtid="{D5CDD505-2E9C-101B-9397-08002B2CF9AE}" pid="16" name="_ReviewingToolsShownOnce">
    <vt:lpwstr/>
  </property>
</Properties>
</file>