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36F29476" w:rsidR="004A4EC3" w:rsidRPr="00070651" w:rsidRDefault="00C26E45" w:rsidP="00C26E45">
      <w:pPr>
        <w:spacing w:line="360" w:lineRule="auto"/>
        <w:rPr>
          <w:rFonts w:eastAsiaTheme="majorEastAsia" w:cs="Times New Roman (Headings CS)"/>
          <w:b/>
          <w:color w:val="CC5733"/>
          <w:sz w:val="32"/>
          <w:szCs w:val="28"/>
        </w:rPr>
      </w:pPr>
      <w:r>
        <w:rPr>
          <w:rFonts w:eastAsiaTheme="majorEastAsia" w:cs="Times New Roman (Headings CS)"/>
          <w:b/>
          <w:color w:val="CC5733"/>
          <w:sz w:val="32"/>
          <w:szCs w:val="28"/>
        </w:rPr>
        <w:br/>
      </w:r>
      <w:r w:rsidR="00161079">
        <w:rPr>
          <w:rFonts w:eastAsiaTheme="majorEastAsia" w:cs="Times New Roman (Headings CS)"/>
          <w:b/>
          <w:color w:val="CC5733"/>
          <w:sz w:val="32"/>
          <w:szCs w:val="28"/>
        </w:rPr>
        <w:t>Senior Cyber Security Analyst</w:t>
      </w:r>
      <w:r w:rsidR="00161079" w:rsidRPr="00070651">
        <w:rPr>
          <w:rFonts w:eastAsiaTheme="majorEastAsia" w:cs="Times New Roman (Headings CS)"/>
          <w:b/>
          <w:color w:val="CC5733"/>
          <w:sz w:val="32"/>
          <w:szCs w:val="28"/>
        </w:rPr>
        <w:t xml:space="preserve">, </w:t>
      </w:r>
      <w:r w:rsidR="00161079">
        <w:rPr>
          <w:rFonts w:eastAsiaTheme="majorEastAsia" w:cs="Times New Roman (Headings CS)"/>
          <w:b/>
          <w:color w:val="CC5733"/>
          <w:sz w:val="32"/>
          <w:szCs w:val="28"/>
        </w:rPr>
        <w:t>Level 5</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2747"/>
        <w:gridCol w:w="1984"/>
        <w:gridCol w:w="2410"/>
      </w:tblGrid>
      <w:tr w:rsidR="004A4EC3" w:rsidRPr="00D007E3" w14:paraId="361BAA74" w14:textId="77777777" w:rsidTr="1CEF6C72">
        <w:trPr>
          <w:trHeight w:val="465"/>
        </w:trPr>
        <w:tc>
          <w:tcPr>
            <w:tcW w:w="2215" w:type="dxa"/>
          </w:tcPr>
          <w:p w14:paraId="77A0CA35" w14:textId="6A9CEB3C" w:rsidR="004A4EC3" w:rsidRPr="00D007E3" w:rsidRDefault="004A4EC3" w:rsidP="004A4EC3">
            <w:pPr>
              <w:pStyle w:val="Formfields"/>
              <w:framePr w:hSpace="0" w:wrap="auto" w:vAnchor="margin" w:yAlign="inline"/>
              <w:suppressOverlap w:val="0"/>
              <w:rPr>
                <w:color w:val="000000" w:themeColor="text1"/>
              </w:rPr>
            </w:pPr>
            <w:r w:rsidRPr="00D007E3">
              <w:t xml:space="preserve">Directorate: </w:t>
            </w:r>
          </w:p>
        </w:tc>
        <w:tc>
          <w:tcPr>
            <w:tcW w:w="2747" w:type="dxa"/>
          </w:tcPr>
          <w:p w14:paraId="6E7A5B79" w14:textId="22D387CA" w:rsidR="004A4EC3" w:rsidRPr="00454734" w:rsidRDefault="0076639C" w:rsidP="004A4EC3">
            <w:r w:rsidRPr="0067306A">
              <w:t>Office of Digital Government</w:t>
            </w:r>
          </w:p>
        </w:tc>
        <w:tc>
          <w:tcPr>
            <w:tcW w:w="1984"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410" w:type="dxa"/>
          </w:tcPr>
          <w:p w14:paraId="0836B71E" w14:textId="371D3D5B" w:rsidR="00FC1649" w:rsidRPr="0067306A" w:rsidRDefault="1807572B" w:rsidP="1CEF6C72">
            <w:pPr>
              <w:spacing w:after="0"/>
            </w:pPr>
            <w:r w:rsidRPr="0067306A">
              <w:t>Principal Cyber Security Analyst</w:t>
            </w:r>
          </w:p>
        </w:tc>
      </w:tr>
      <w:tr w:rsidR="004A4EC3" w:rsidRPr="00D007E3" w14:paraId="77F9C586" w14:textId="77777777" w:rsidTr="1CEF6C72">
        <w:trPr>
          <w:trHeight w:val="85"/>
        </w:trPr>
        <w:tc>
          <w:tcPr>
            <w:tcW w:w="2215"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747" w:type="dxa"/>
          </w:tcPr>
          <w:p w14:paraId="2E756B84" w14:textId="20D5E910" w:rsidR="004A4EC3" w:rsidRPr="00454734" w:rsidRDefault="00F66E6E" w:rsidP="004A4EC3">
            <w:r w:rsidRPr="0067306A">
              <w:t>Cyber Security Unit</w:t>
            </w:r>
            <w:r w:rsidR="0058504B" w:rsidRPr="0067306A">
              <w:t>/Technical</w:t>
            </w:r>
          </w:p>
        </w:tc>
        <w:tc>
          <w:tcPr>
            <w:tcW w:w="1984"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410" w:type="dxa"/>
          </w:tcPr>
          <w:p w14:paraId="492DAAAF" w14:textId="430ACA64" w:rsidR="004A4EC3" w:rsidRPr="00454734" w:rsidRDefault="00886386" w:rsidP="004A4EC3">
            <w:r w:rsidRPr="0067306A">
              <w:t>0 FTE</w:t>
            </w:r>
          </w:p>
        </w:tc>
      </w:tr>
      <w:tr w:rsidR="004A4EC3" w:rsidRPr="00D007E3" w14:paraId="6BBCF80B" w14:textId="77777777" w:rsidTr="1CEF6C72">
        <w:trPr>
          <w:trHeight w:val="434"/>
        </w:trPr>
        <w:tc>
          <w:tcPr>
            <w:tcW w:w="2215"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387572CE" w:rsidR="004A4EC3" w:rsidRPr="00454734" w:rsidRDefault="004A4EC3" w:rsidP="004A4EC3">
            <w:r w:rsidRPr="0067306A">
              <w:t xml:space="preserve">Perth Metro </w:t>
            </w:r>
          </w:p>
        </w:tc>
        <w:tc>
          <w:tcPr>
            <w:tcW w:w="1984"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454734"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1E4277F7" w14:textId="5B277AB6" w:rsidR="0006746F" w:rsidRPr="004A3655" w:rsidRDefault="0006746F" w:rsidP="0006746F">
      <w:pPr>
        <w:rPr>
          <w:rFonts w:cs="Calibri"/>
        </w:rPr>
      </w:pPr>
      <w:r>
        <w:t xml:space="preserve">The Office of Digital Government (DGov) is leading the digital transformation of the WA public sector to support agencies in improving service delivery to the community. This includes providing more convenient access to government services </w:t>
      </w:r>
      <w:r w:rsidR="00DE5BF8">
        <w:t>online and</w:t>
      </w:r>
      <w:r>
        <w:t xml:space="preserve"> not disadvantaging those who cannot or do not want to use digital services. Ensuring that personal information and data collected, stored and shared by the WA Government is protected is a crucial element of what we do.  </w:t>
      </w:r>
    </w:p>
    <w:p w14:paraId="37A89249" w14:textId="78659DEE" w:rsidR="00756536" w:rsidRPr="00051CBF" w:rsidRDefault="00A00DF9" w:rsidP="001219C5">
      <w:pPr>
        <w:rPr>
          <w:color w:val="CC5733"/>
        </w:rPr>
      </w:pPr>
      <w:r w:rsidRPr="00CD0B02">
        <w:rPr>
          <w:rFonts w:eastAsiaTheme="majorEastAsia" w:cs="Times New Roman (Headings CS)"/>
          <w:b/>
          <w:color w:val="CC5733"/>
        </w:rPr>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4EC71555" w14:textId="7FDDDE86" w:rsidR="00FC4E31" w:rsidRDefault="001219C5" w:rsidP="00CC2367">
      <w:r>
        <w:t xml:space="preserve">Senior Cyber Security Analysts </w:t>
      </w:r>
      <w:r w:rsidR="00E573BE">
        <w:t xml:space="preserve">are responsible </w:t>
      </w:r>
      <w:r w:rsidR="00F84E89">
        <w:t xml:space="preserve">for analysing </w:t>
      </w:r>
      <w:r w:rsidR="004E563E">
        <w:t xml:space="preserve">data </w:t>
      </w:r>
      <w:r w:rsidR="00D57A8D" w:rsidRPr="00D57A8D">
        <w:t xml:space="preserve">collected from various cyber security defence tools </w:t>
      </w:r>
      <w:r w:rsidR="00F84E89">
        <w:t xml:space="preserve">and </w:t>
      </w:r>
      <w:r w:rsidR="00D57A8D">
        <w:t xml:space="preserve">supporting </w:t>
      </w:r>
      <w:r w:rsidR="00242E3C">
        <w:t xml:space="preserve">continuous improvement of </w:t>
      </w:r>
      <w:r w:rsidR="00785741">
        <w:t xml:space="preserve">Security Operational </w:t>
      </w:r>
      <w:r w:rsidR="00FE1F2D">
        <w:t xml:space="preserve">capabilities </w:t>
      </w:r>
      <w:r w:rsidR="00785741">
        <w:t>to</w:t>
      </w:r>
      <w:r w:rsidR="00FE1F2D">
        <w:t xml:space="preserve"> </w:t>
      </w:r>
      <w:r w:rsidR="0040084E">
        <w:t>mitigate cyber security threats</w:t>
      </w:r>
      <w:r w:rsidR="00234F00">
        <w:t>.</w:t>
      </w:r>
      <w:r w:rsidR="008A4623">
        <w:t xml:space="preserve">  Senior Security Specialists will draw on their expertise of </w:t>
      </w:r>
      <w:r w:rsidR="00F45E68">
        <w:t xml:space="preserve">cyber security threats, </w:t>
      </w:r>
      <w:r w:rsidR="0071520E">
        <w:t xml:space="preserve">incident management and </w:t>
      </w:r>
      <w:r w:rsidR="00FD6A88">
        <w:t>will support agencies in meeting the requirements of the WA Cyber Security Policy.</w:t>
      </w:r>
    </w:p>
    <w:p w14:paraId="5EEDB58C" w14:textId="77777777" w:rsidR="00B9643A" w:rsidRDefault="00B9643A" w:rsidP="00B9643A">
      <w:pPr>
        <w:pStyle w:val="Heading2"/>
        <w:rPr>
          <w:sz w:val="24"/>
          <w:szCs w:val="24"/>
        </w:rPr>
      </w:pPr>
      <w:r w:rsidRPr="00B9643A">
        <w:rPr>
          <w:sz w:val="24"/>
          <w:szCs w:val="24"/>
        </w:rPr>
        <w:lastRenderedPageBreak/>
        <w:t>Cyber Security tasks</w:t>
      </w:r>
    </w:p>
    <w:p w14:paraId="7BAC3229" w14:textId="257F293F" w:rsidR="0045257A" w:rsidRDefault="0045257A" w:rsidP="0067306A">
      <w:pPr>
        <w:pStyle w:val="ListParagraph"/>
        <w:numPr>
          <w:ilvl w:val="0"/>
          <w:numId w:val="19"/>
        </w:numPr>
        <w:ind w:left="360"/>
      </w:pPr>
      <w:r>
        <w:t>Monitors, assesses and assist in the continual improvement of the performance of information systems security services and controls</w:t>
      </w:r>
      <w:r w:rsidR="001F2B3F">
        <w:t>, including leveraging Artificial Intelligence solutions.</w:t>
      </w:r>
    </w:p>
    <w:p w14:paraId="52D995A8" w14:textId="64AAC2AE" w:rsidR="0045257A" w:rsidRDefault="0045257A" w:rsidP="0067306A">
      <w:pPr>
        <w:pStyle w:val="ListParagraph"/>
        <w:numPr>
          <w:ilvl w:val="0"/>
          <w:numId w:val="19"/>
        </w:numPr>
        <w:ind w:left="360"/>
      </w:pPr>
      <w:r>
        <w:t xml:space="preserve">Coordinates between internal and external </w:t>
      </w:r>
      <w:r w:rsidR="001515C4">
        <w:t xml:space="preserve">partners </w:t>
      </w:r>
      <w:r>
        <w:t>with respect to the delivery of information security services.</w:t>
      </w:r>
    </w:p>
    <w:p w14:paraId="3FEDF8D1" w14:textId="7521590B" w:rsidR="1578B6FD" w:rsidRDefault="1578B6FD" w:rsidP="0067306A">
      <w:pPr>
        <w:pStyle w:val="ListParagraph"/>
        <w:numPr>
          <w:ilvl w:val="0"/>
          <w:numId w:val="19"/>
        </w:numPr>
        <w:ind w:left="360"/>
      </w:pPr>
      <w:r>
        <w:t xml:space="preserve">Identify and analyse cyber threats, investigate security breaches, assess operational impacts, </w:t>
      </w:r>
      <w:r w:rsidR="00586E0E">
        <w:t xml:space="preserve">assisting with incident management, </w:t>
      </w:r>
      <w:r>
        <w:t xml:space="preserve">and </w:t>
      </w:r>
      <w:r w:rsidR="5F8DD91B">
        <w:t>prioritise</w:t>
      </w:r>
      <w:r>
        <w:t xml:space="preserve"> </w:t>
      </w:r>
      <w:r w:rsidR="5F8DD91B">
        <w:t>risk treatments</w:t>
      </w:r>
      <w:r>
        <w:t xml:space="preserve"> to enhance organizational cybersecurity.</w:t>
      </w:r>
    </w:p>
    <w:p w14:paraId="435EC9B1" w14:textId="4D00AABC" w:rsidR="0045257A" w:rsidRDefault="0045257A" w:rsidP="0067306A">
      <w:pPr>
        <w:pStyle w:val="ListParagraph"/>
        <w:numPr>
          <w:ilvl w:val="0"/>
          <w:numId w:val="19"/>
        </w:numPr>
        <w:ind w:left="360"/>
      </w:pPr>
      <w:r>
        <w:t xml:space="preserve">Coordinates, performs and </w:t>
      </w:r>
      <w:r w:rsidR="00DE5BF8">
        <w:t>supports</w:t>
      </w:r>
      <w:r>
        <w:t xml:space="preserve"> scheduled security scans, reviews and compliance testing to ensure adherence to information security policies, standards and procedures and identify and execute against opportunities for improvement.</w:t>
      </w:r>
    </w:p>
    <w:p w14:paraId="28A19A0B" w14:textId="72BA50BD" w:rsidR="0045257A" w:rsidRDefault="0045257A" w:rsidP="0067306A">
      <w:pPr>
        <w:pStyle w:val="ListParagraph"/>
        <w:numPr>
          <w:ilvl w:val="0"/>
          <w:numId w:val="19"/>
        </w:numPr>
        <w:ind w:left="360"/>
      </w:pPr>
      <w:r>
        <w:t>Delivers information security awareness and education, based on standards, trends and alerts from appropriate industry and security monitoring services.</w:t>
      </w:r>
    </w:p>
    <w:p w14:paraId="127FC3AA" w14:textId="5A3EE236" w:rsidR="0045257A" w:rsidRDefault="0045257A" w:rsidP="0067306A">
      <w:pPr>
        <w:pStyle w:val="ListParagraph"/>
        <w:numPr>
          <w:ilvl w:val="0"/>
          <w:numId w:val="19"/>
        </w:numPr>
        <w:ind w:left="360"/>
      </w:pPr>
      <w:r>
        <w:t xml:space="preserve">Provides information security policy, technical and operational advice to </w:t>
      </w:r>
      <w:r w:rsidR="7E8B488E">
        <w:t>relevant stakeholders.</w:t>
      </w:r>
    </w:p>
    <w:p w14:paraId="709D8A33" w14:textId="16C2FA05" w:rsidR="0045257A" w:rsidRDefault="0045257A" w:rsidP="005066AA">
      <w:pPr>
        <w:pStyle w:val="ListParagraph"/>
        <w:numPr>
          <w:ilvl w:val="0"/>
          <w:numId w:val="19"/>
        </w:numPr>
        <w:ind w:left="360"/>
      </w:pPr>
      <w:r>
        <w:t>Assists in the development and maintenance of information security policies, standards, procedures and frameworks</w:t>
      </w:r>
      <w:r w:rsidR="0085457E">
        <w:t xml:space="preserve"> including but not limited to </w:t>
      </w:r>
      <w:r w:rsidR="003D5C5C">
        <w:t>incident response pl</w:t>
      </w:r>
      <w:r w:rsidR="002F2950">
        <w:t>ans</w:t>
      </w:r>
      <w:r w:rsidR="00E35300">
        <w:t xml:space="preserve">, escalation </w:t>
      </w:r>
      <w:r w:rsidR="00636F45">
        <w:t>play</w:t>
      </w:r>
      <w:r w:rsidR="000A37A4">
        <w:t xml:space="preserve">books </w:t>
      </w:r>
      <w:r w:rsidR="002D4476">
        <w:t>and</w:t>
      </w:r>
      <w:r w:rsidR="00AA253D">
        <w:t xml:space="preserve"> </w:t>
      </w:r>
      <w:r w:rsidR="00950195">
        <w:t xml:space="preserve">disaster </w:t>
      </w:r>
      <w:r w:rsidR="002D4476">
        <w:t>recovery</w:t>
      </w:r>
      <w:r w:rsidR="00E35300">
        <w:t xml:space="preserve"> procedures</w:t>
      </w:r>
      <w:r w:rsidR="00D54E4E">
        <w:t>.</w:t>
      </w:r>
    </w:p>
    <w:p w14:paraId="14965EEB" w14:textId="23C08069" w:rsidR="00D54E4E" w:rsidRDefault="00D54E4E" w:rsidP="0067306A">
      <w:pPr>
        <w:pStyle w:val="ListParagraph"/>
        <w:numPr>
          <w:ilvl w:val="0"/>
          <w:numId w:val="19"/>
        </w:numPr>
        <w:ind w:left="360"/>
      </w:pPr>
      <w:r w:rsidRPr="00D54E4E">
        <w:t>Provides guidance and support to junior staff.</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67306A">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67306A">
      <w:pPr>
        <w:pStyle w:val="ListParagraph"/>
        <w:numPr>
          <w:ilvl w:val="0"/>
          <w:numId w:val="18"/>
        </w:numPr>
        <w:ind w:left="360" w:hanging="360"/>
        <w:rPr>
          <w:color w:val="auto"/>
          <w:szCs w:val="24"/>
        </w:rPr>
      </w:pPr>
      <w:r w:rsidRPr="00405858">
        <w:rPr>
          <w:color w:val="auto"/>
          <w:szCs w:val="24"/>
        </w:rPr>
        <w:t>Takes reasonable care to protect your own safety and health at work, and that of others by co-operating with the safety and health policies and procedures of the Department and complying with all provisions of the Work Health and Safety Act 2020</w:t>
      </w:r>
    </w:p>
    <w:p w14:paraId="43976E59" w14:textId="77777777" w:rsidR="00F167A5" w:rsidRPr="0098212A" w:rsidRDefault="00F167A5" w:rsidP="0067306A">
      <w:pPr>
        <w:pStyle w:val="ListParagraph"/>
        <w:numPr>
          <w:ilvl w:val="0"/>
          <w:numId w:val="18"/>
        </w:numPr>
        <w:ind w:left="360" w:hanging="360"/>
        <w:rPr>
          <w:color w:val="auto"/>
          <w:szCs w:val="24"/>
        </w:rPr>
      </w:pPr>
      <w:r w:rsidRPr="0067306A">
        <w:t>Undertakes</w:t>
      </w:r>
      <w:r w:rsidRPr="0098212A">
        <w:rPr>
          <w:color w:val="auto"/>
          <w:szCs w:val="24"/>
        </w:rPr>
        <w:t xml:space="preserve"> other duties as required.</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10C866CE" w14:textId="77777777" w:rsidR="002669A1" w:rsidRPr="00300C8A" w:rsidRDefault="002669A1" w:rsidP="002669A1">
      <w:pPr>
        <w:pStyle w:val="ListParagraph"/>
        <w:numPr>
          <w:ilvl w:val="0"/>
          <w:numId w:val="20"/>
        </w:numPr>
        <w:ind w:left="360"/>
      </w:pPr>
      <w:r>
        <w:t>Well-developed conceptual and analytical skills with the ability to apply these to the treatment of modern cyber security threats and resolve complex problems</w:t>
      </w:r>
      <w:r w:rsidRPr="00300C8A">
        <w:t xml:space="preserve">. </w:t>
      </w:r>
    </w:p>
    <w:p w14:paraId="41CDA271" w14:textId="5465A109" w:rsidR="00C96424" w:rsidRDefault="003B37CA" w:rsidP="002669A1">
      <w:pPr>
        <w:pStyle w:val="ListParagraph"/>
        <w:numPr>
          <w:ilvl w:val="0"/>
          <w:numId w:val="20"/>
        </w:numPr>
        <w:ind w:left="360"/>
      </w:pPr>
      <w:r>
        <w:t>Working</w:t>
      </w:r>
      <w:r w:rsidR="00AF6105">
        <w:t xml:space="preserve"> </w:t>
      </w:r>
      <w:r w:rsidR="002669A1" w:rsidRPr="00280B56">
        <w:t xml:space="preserve">experience in the identification and </w:t>
      </w:r>
      <w:r w:rsidR="00C96424" w:rsidRPr="00C96424">
        <w:t xml:space="preserve">resolution of information security </w:t>
      </w:r>
      <w:r w:rsidR="00FB010D">
        <w:t>incidents</w:t>
      </w:r>
      <w:r w:rsidR="00C96424" w:rsidRPr="00C96424">
        <w:t>, against appropriate security frameworks</w:t>
      </w:r>
      <w:r w:rsidR="00902532">
        <w:t xml:space="preserve"> (for example MITRE ATT&amp;CK)</w:t>
      </w:r>
      <w:r w:rsidR="001A0189" w:rsidRPr="001A0189">
        <w:t>, principals, policies, and standards.</w:t>
      </w:r>
    </w:p>
    <w:p w14:paraId="1EF9E600" w14:textId="3BF1177E" w:rsidR="002669A1" w:rsidRPr="00280B56" w:rsidRDefault="002669A1" w:rsidP="002669A1">
      <w:pPr>
        <w:pStyle w:val="ListParagraph"/>
        <w:numPr>
          <w:ilvl w:val="0"/>
          <w:numId w:val="20"/>
        </w:numPr>
        <w:ind w:left="360"/>
      </w:pPr>
      <w:r w:rsidRPr="00280B56">
        <w:t xml:space="preserve">Working knowledge of information security technologies, </w:t>
      </w:r>
      <w:r w:rsidR="001249E9" w:rsidRPr="00BE7692">
        <w:t xml:space="preserve">such as vulnerability management, </w:t>
      </w:r>
      <w:r w:rsidR="001249E9">
        <w:t xml:space="preserve">identity management </w:t>
      </w:r>
      <w:r w:rsidR="001249E9" w:rsidRPr="00BE7692">
        <w:t>and access control</w:t>
      </w:r>
      <w:r w:rsidR="001249E9">
        <w:t>s</w:t>
      </w:r>
      <w:r w:rsidR="001249E9" w:rsidRPr="00BE7692">
        <w:t xml:space="preserve">, next-gen </w:t>
      </w:r>
      <w:r w:rsidR="001249E9">
        <w:t>endpoint detection and response services</w:t>
      </w:r>
      <w:r w:rsidR="001249E9" w:rsidRPr="00BE7692">
        <w:t>, data leakage protection, endpoint forensics, threat enrichment, SIEM and relevant cloud security solutions.</w:t>
      </w:r>
    </w:p>
    <w:p w14:paraId="057B556B" w14:textId="4DEE48F7" w:rsidR="001E1089" w:rsidRDefault="00280B56" w:rsidP="001E1089">
      <w:pPr>
        <w:pStyle w:val="ListParagraph"/>
        <w:numPr>
          <w:ilvl w:val="0"/>
          <w:numId w:val="20"/>
        </w:numPr>
        <w:ind w:left="360"/>
      </w:pPr>
      <w:r w:rsidRPr="00280B56">
        <w:t>Well-developed written communication skills and interpersonal, and the ability to consult with internal and external stakeholders.</w:t>
      </w:r>
    </w:p>
    <w:p w14:paraId="6EDABC88" w14:textId="3157844D" w:rsidR="001E1089" w:rsidRPr="001E1089" w:rsidRDefault="001E1089" w:rsidP="001E1089">
      <w:pPr>
        <w:pStyle w:val="ListParagraph"/>
        <w:numPr>
          <w:ilvl w:val="0"/>
          <w:numId w:val="20"/>
        </w:numPr>
        <w:ind w:left="360"/>
      </w:pPr>
      <w:r w:rsidRPr="001E1089">
        <w:lastRenderedPageBreak/>
        <w:t>Experience working as part of multidisciplinary and cross functional teams and can understand the organisations objectives and align operational activities accordingly.</w:t>
      </w:r>
    </w:p>
    <w:p w14:paraId="39BC684E" w14:textId="25FB8A85" w:rsidR="00746BE6" w:rsidRDefault="00746BE6" w:rsidP="00746BE6">
      <w:pPr>
        <w:pStyle w:val="Heading2"/>
        <w:rPr>
          <w:sz w:val="24"/>
          <w:szCs w:val="24"/>
        </w:rPr>
      </w:pPr>
      <w:r w:rsidRPr="00746BE6">
        <w:rPr>
          <w:sz w:val="24"/>
          <w:szCs w:val="24"/>
        </w:rPr>
        <w:t>Desirable</w:t>
      </w:r>
    </w:p>
    <w:p w14:paraId="66322CC5" w14:textId="77777777" w:rsidR="001F6082" w:rsidRPr="001F6082" w:rsidRDefault="001F6082" w:rsidP="0067306A">
      <w:pPr>
        <w:pStyle w:val="ListParagraph"/>
        <w:numPr>
          <w:ilvl w:val="0"/>
          <w:numId w:val="21"/>
        </w:numPr>
        <w:ind w:left="360"/>
      </w:pPr>
      <w:r w:rsidRPr="001F6082">
        <w:t>Possession of or progression towards a relevant tertiary qualification.</w:t>
      </w:r>
    </w:p>
    <w:p w14:paraId="28095DC3" w14:textId="55C6EC37" w:rsidR="00A3527E" w:rsidRPr="00A3527E" w:rsidRDefault="00A3527E" w:rsidP="0067306A">
      <w:pPr>
        <w:pStyle w:val="ListParagraph"/>
        <w:numPr>
          <w:ilvl w:val="0"/>
          <w:numId w:val="21"/>
        </w:numPr>
        <w:ind w:left="360"/>
      </w:pPr>
      <w:r w:rsidRPr="00A3527E">
        <w:t xml:space="preserve">Possession of relevant industry certifications for security (e.g. Security+, </w:t>
      </w:r>
      <w:r w:rsidR="008A0148" w:rsidRPr="00A3527E">
        <w:t>CC</w:t>
      </w:r>
      <w:r w:rsidR="008A0148">
        <w:t xml:space="preserve">, </w:t>
      </w:r>
      <w:r w:rsidRPr="00A3527E">
        <w:t xml:space="preserve">SC-200, </w:t>
      </w:r>
      <w:r>
        <w:t>CSX-P</w:t>
      </w:r>
      <w:r w:rsidRPr="00A3527E">
        <w:t>,</w:t>
      </w:r>
      <w:r w:rsidR="008A0148">
        <w:t xml:space="preserve"> </w:t>
      </w:r>
      <w:r w:rsidR="00AB5DC4" w:rsidRPr="00AB5DC4">
        <w:t>GSOC</w:t>
      </w:r>
      <w:r w:rsidR="00AB5DC4">
        <w:t>,</w:t>
      </w:r>
      <w:r w:rsidR="00AB5DC4" w:rsidRPr="00AB5DC4">
        <w:t xml:space="preserve"> </w:t>
      </w:r>
      <w:r w:rsidRPr="00A3527E">
        <w:t>CISSP).</w:t>
      </w:r>
    </w:p>
    <w:p w14:paraId="0D2CF8C2" w14:textId="4695DC81" w:rsidR="00746BE6" w:rsidRDefault="00A73698" w:rsidP="0067306A">
      <w:pPr>
        <w:pStyle w:val="ListParagraph"/>
        <w:numPr>
          <w:ilvl w:val="0"/>
          <w:numId w:val="21"/>
        </w:numPr>
        <w:ind w:left="360"/>
      </w:pPr>
      <w:r>
        <w:t>Knowledge and experience in providing information security services within a government or large corporate environment.</w:t>
      </w:r>
    </w:p>
    <w:p w14:paraId="257FC98C" w14:textId="77777777" w:rsidR="003B5164" w:rsidRPr="00746BE6" w:rsidRDefault="003B5164" w:rsidP="003B5164">
      <w:pPr>
        <w:pStyle w:val="ListParagraph"/>
        <w:ind w:left="360"/>
      </w:pPr>
    </w:p>
    <w:p w14:paraId="60C11D43" w14:textId="77777777" w:rsidR="00347F08" w:rsidRPr="00D007E3" w:rsidRDefault="00347F08" w:rsidP="00347F08">
      <w:r>
        <w:t xml:space="preserve">To be eligible for permanent appointment to the role, employees </w:t>
      </w:r>
      <w:r w:rsidRPr="00070651">
        <w:t xml:space="preserve">must also be eligible to live and work in Australia indefinitely. </w:t>
      </w:r>
      <w:r w:rsidRPr="00D007E3">
        <w:t xml:space="preserve">Employees engaged on fixed term appointments </w:t>
      </w:r>
      <w:r>
        <w:t>need</w:t>
      </w:r>
      <w:r w:rsidRPr="00D007E3">
        <w:t xml:space="preserve"> a valid work visa for the duration of the</w:t>
      </w:r>
      <w:r>
        <w:t>ir</w:t>
      </w:r>
      <w:r w:rsidRPr="00D007E3">
        <w:t xml:space="preserve"> contract.</w:t>
      </w:r>
    </w:p>
    <w:p w14:paraId="6B8C6C21" w14:textId="77777777" w:rsidR="00347F08" w:rsidRPr="004A3655" w:rsidRDefault="00347F08" w:rsidP="00347F08">
      <w:r w:rsidRPr="00D007E3">
        <w:t xml:space="preserve">Appointment is </w:t>
      </w:r>
      <w:r>
        <w:t xml:space="preserve">also dependent on a </w:t>
      </w:r>
      <w:r w:rsidRPr="00D007E3">
        <w:t>100-point identification check and</w:t>
      </w:r>
      <w:r>
        <w:t xml:space="preserve"> </w:t>
      </w:r>
      <w:r w:rsidRPr="00D007E3">
        <w:t>Criminal Records Screening Clearance</w:t>
      </w:r>
      <w:r>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7998A06D" w:rsidR="004B2309" w:rsidRDefault="004B2309" w:rsidP="004B2309"/>
          <w:p w14:paraId="019B14E0" w14:textId="31CEAFF2"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61409E2B" w:rsidR="005A2701" w:rsidRPr="00070651" w:rsidRDefault="00AC73F2" w:rsidP="0033476B">
            <w:pPr>
              <w:pStyle w:val="Heading3"/>
              <w:ind w:hanging="113"/>
              <w:rPr>
                <w:sz w:val="24"/>
              </w:rPr>
            </w:pPr>
            <w:r w:rsidRPr="00070651">
              <w:rPr>
                <w:sz w:val="24"/>
              </w:rPr>
              <w:t>D</w:t>
            </w:r>
            <w:r w:rsidR="005A2701" w:rsidRPr="00070651">
              <w:rPr>
                <w:sz w:val="24"/>
              </w:rPr>
              <w:t>ate:</w:t>
            </w:r>
            <w:r w:rsidR="002B2234">
              <w:rPr>
                <w:sz w:val="24"/>
              </w:rPr>
              <w:t xml:space="preserve">  </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FA1359">
      <w:headerReference w:type="default" r:id="rId11"/>
      <w:footerReference w:type="even" r:id="rId12"/>
      <w:footerReference w:type="default" r:id="rId13"/>
      <w:headerReference w:type="first" r:id="rId14"/>
      <w:footerReference w:type="first" r:id="rId15"/>
      <w:pgSz w:w="11906" w:h="16838"/>
      <w:pgMar w:top="1832"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9AD3" w14:textId="77777777" w:rsidR="00C47414" w:rsidRDefault="00C47414" w:rsidP="00756536">
      <w:pPr>
        <w:spacing w:after="0" w:line="240" w:lineRule="auto"/>
      </w:pPr>
      <w:r>
        <w:separator/>
      </w:r>
    </w:p>
  </w:endnote>
  <w:endnote w:type="continuationSeparator" w:id="0">
    <w:p w14:paraId="64FEEEFA" w14:textId="77777777" w:rsidR="00C47414" w:rsidRDefault="00C47414" w:rsidP="00756536">
      <w:pPr>
        <w:spacing w:after="0" w:line="240" w:lineRule="auto"/>
      </w:pPr>
      <w:r>
        <w:continuationSeparator/>
      </w:r>
    </w:p>
  </w:endnote>
  <w:endnote w:type="continuationNotice" w:id="1">
    <w:p w14:paraId="0BB86A34" w14:textId="77777777" w:rsidR="00C47414" w:rsidRDefault="00C47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1B505D33" w:rsidR="0033476B" w:rsidRPr="0033476B" w:rsidRDefault="0033476B" w:rsidP="0033476B">
    <w:pPr>
      <w:pStyle w:val="Footer"/>
      <w:ind w:right="360"/>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2E64822A" w:rsidR="0033476B" w:rsidRPr="0033476B" w:rsidRDefault="0033476B" w:rsidP="0033476B">
    <w:pPr>
      <w:pStyle w:val="Footer"/>
      <w:ind w:right="284"/>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3A3B" w14:textId="77777777" w:rsidR="00C47414" w:rsidRDefault="00C47414" w:rsidP="00756536">
      <w:pPr>
        <w:spacing w:after="0" w:line="240" w:lineRule="auto"/>
      </w:pPr>
      <w:r>
        <w:separator/>
      </w:r>
    </w:p>
  </w:footnote>
  <w:footnote w:type="continuationSeparator" w:id="0">
    <w:p w14:paraId="35392A6E" w14:textId="77777777" w:rsidR="00C47414" w:rsidRDefault="00C47414" w:rsidP="00756536">
      <w:pPr>
        <w:spacing w:after="0" w:line="240" w:lineRule="auto"/>
      </w:pPr>
      <w:r>
        <w:continuationSeparator/>
      </w:r>
    </w:p>
  </w:footnote>
  <w:footnote w:type="continuationNotice" w:id="1">
    <w:p w14:paraId="20B1E38A" w14:textId="77777777" w:rsidR="00C47414" w:rsidRDefault="00C47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58241"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66C"/>
    <w:multiLevelType w:val="hybridMultilevel"/>
    <w:tmpl w:val="CDFE1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201E4"/>
    <w:multiLevelType w:val="hybridMultilevel"/>
    <w:tmpl w:val="56EA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525DA"/>
    <w:multiLevelType w:val="hybridMultilevel"/>
    <w:tmpl w:val="C8AA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9D40CE"/>
    <w:multiLevelType w:val="hybridMultilevel"/>
    <w:tmpl w:val="E04C8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F617E5"/>
    <w:multiLevelType w:val="hybridMultilevel"/>
    <w:tmpl w:val="0E181072"/>
    <w:lvl w:ilvl="0" w:tplc="A06E3B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7"/>
  </w:num>
  <w:num w:numId="2" w16cid:durableId="1376272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4"/>
  </w:num>
  <w:num w:numId="4" w16cid:durableId="1326056679">
    <w:abstractNumId w:val="15"/>
  </w:num>
  <w:num w:numId="5" w16cid:durableId="165638337">
    <w:abstractNumId w:val="12"/>
  </w:num>
  <w:num w:numId="6" w16cid:durableId="1123695853">
    <w:abstractNumId w:val="11"/>
  </w:num>
  <w:num w:numId="7" w16cid:durableId="1581137968">
    <w:abstractNumId w:val="3"/>
  </w:num>
  <w:num w:numId="8" w16cid:durableId="210381380">
    <w:abstractNumId w:val="5"/>
  </w:num>
  <w:num w:numId="9" w16cid:durableId="1667249357">
    <w:abstractNumId w:val="21"/>
  </w:num>
  <w:num w:numId="10" w16cid:durableId="1636334645">
    <w:abstractNumId w:val="14"/>
  </w:num>
  <w:num w:numId="11" w16cid:durableId="1816409002">
    <w:abstractNumId w:val="8"/>
  </w:num>
  <w:num w:numId="12" w16cid:durableId="1771470451">
    <w:abstractNumId w:val="10"/>
  </w:num>
  <w:num w:numId="13" w16cid:durableId="2042582278">
    <w:abstractNumId w:val="18"/>
  </w:num>
  <w:num w:numId="14" w16cid:durableId="301085470">
    <w:abstractNumId w:val="16"/>
  </w:num>
  <w:num w:numId="15" w16cid:durableId="24185399">
    <w:abstractNumId w:val="2"/>
  </w:num>
  <w:num w:numId="16" w16cid:durableId="169490687">
    <w:abstractNumId w:val="13"/>
  </w:num>
  <w:num w:numId="17" w16cid:durableId="629700953">
    <w:abstractNumId w:val="1"/>
  </w:num>
  <w:num w:numId="18" w16cid:durableId="1341004227">
    <w:abstractNumId w:val="17"/>
  </w:num>
  <w:num w:numId="19" w16cid:durableId="1061446276">
    <w:abstractNumId w:val="6"/>
  </w:num>
  <w:num w:numId="20" w16cid:durableId="1658532055">
    <w:abstractNumId w:val="19"/>
  </w:num>
  <w:num w:numId="21" w16cid:durableId="1618832989">
    <w:abstractNumId w:val="9"/>
  </w:num>
  <w:num w:numId="22" w16cid:durableId="1852984703">
    <w:abstractNumId w:val="20"/>
  </w:num>
  <w:num w:numId="23" w16cid:durableId="3659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2D51"/>
    <w:rsid w:val="00025438"/>
    <w:rsid w:val="00026A58"/>
    <w:rsid w:val="00030F18"/>
    <w:rsid w:val="00031CAE"/>
    <w:rsid w:val="00044FF3"/>
    <w:rsid w:val="00051CBF"/>
    <w:rsid w:val="00051F40"/>
    <w:rsid w:val="0006478A"/>
    <w:rsid w:val="0006746F"/>
    <w:rsid w:val="00070651"/>
    <w:rsid w:val="0008138E"/>
    <w:rsid w:val="00083B4F"/>
    <w:rsid w:val="00085C11"/>
    <w:rsid w:val="00091F35"/>
    <w:rsid w:val="000A37A4"/>
    <w:rsid w:val="000A6FA1"/>
    <w:rsid w:val="000C0970"/>
    <w:rsid w:val="000D0F48"/>
    <w:rsid w:val="000E09D5"/>
    <w:rsid w:val="000E1232"/>
    <w:rsid w:val="001219C5"/>
    <w:rsid w:val="001249E9"/>
    <w:rsid w:val="001272A2"/>
    <w:rsid w:val="00127F46"/>
    <w:rsid w:val="001313DF"/>
    <w:rsid w:val="00132369"/>
    <w:rsid w:val="001341B6"/>
    <w:rsid w:val="00145E44"/>
    <w:rsid w:val="001515C4"/>
    <w:rsid w:val="00161079"/>
    <w:rsid w:val="001744F5"/>
    <w:rsid w:val="00187D4E"/>
    <w:rsid w:val="0019302F"/>
    <w:rsid w:val="001A0189"/>
    <w:rsid w:val="001A50FB"/>
    <w:rsid w:val="001A6965"/>
    <w:rsid w:val="001B27CF"/>
    <w:rsid w:val="001B52F9"/>
    <w:rsid w:val="001B7A87"/>
    <w:rsid w:val="001B7CD1"/>
    <w:rsid w:val="001C4451"/>
    <w:rsid w:val="001C4EB4"/>
    <w:rsid w:val="001E1089"/>
    <w:rsid w:val="001F2B3F"/>
    <w:rsid w:val="001F6082"/>
    <w:rsid w:val="001F6457"/>
    <w:rsid w:val="002156DB"/>
    <w:rsid w:val="00220D56"/>
    <w:rsid w:val="00234F00"/>
    <w:rsid w:val="00242E3C"/>
    <w:rsid w:val="00243153"/>
    <w:rsid w:val="00246EF2"/>
    <w:rsid w:val="0024718E"/>
    <w:rsid w:val="00260B8D"/>
    <w:rsid w:val="002656BC"/>
    <w:rsid w:val="002669A1"/>
    <w:rsid w:val="0027653E"/>
    <w:rsid w:val="00280169"/>
    <w:rsid w:val="00280B56"/>
    <w:rsid w:val="00283EB7"/>
    <w:rsid w:val="002843C7"/>
    <w:rsid w:val="002874CE"/>
    <w:rsid w:val="002937C1"/>
    <w:rsid w:val="002956EB"/>
    <w:rsid w:val="002A2D96"/>
    <w:rsid w:val="002A45CA"/>
    <w:rsid w:val="002B2234"/>
    <w:rsid w:val="002B657B"/>
    <w:rsid w:val="002D3E24"/>
    <w:rsid w:val="002D4476"/>
    <w:rsid w:val="002F2950"/>
    <w:rsid w:val="002F64E9"/>
    <w:rsid w:val="00300C8A"/>
    <w:rsid w:val="0030375D"/>
    <w:rsid w:val="00320968"/>
    <w:rsid w:val="0033476B"/>
    <w:rsid w:val="00347F08"/>
    <w:rsid w:val="003522C2"/>
    <w:rsid w:val="0036514A"/>
    <w:rsid w:val="00370EE4"/>
    <w:rsid w:val="00394896"/>
    <w:rsid w:val="003A12FE"/>
    <w:rsid w:val="003A787A"/>
    <w:rsid w:val="003B37CA"/>
    <w:rsid w:val="003B5164"/>
    <w:rsid w:val="003C1C26"/>
    <w:rsid w:val="003C3501"/>
    <w:rsid w:val="003D5083"/>
    <w:rsid w:val="003D5C5C"/>
    <w:rsid w:val="003E05FE"/>
    <w:rsid w:val="003F7437"/>
    <w:rsid w:val="0040084E"/>
    <w:rsid w:val="00403990"/>
    <w:rsid w:val="00422282"/>
    <w:rsid w:val="00425B64"/>
    <w:rsid w:val="00430199"/>
    <w:rsid w:val="0045257A"/>
    <w:rsid w:val="004529FC"/>
    <w:rsid w:val="00454651"/>
    <w:rsid w:val="00454734"/>
    <w:rsid w:val="0046261B"/>
    <w:rsid w:val="00462800"/>
    <w:rsid w:val="00471F7F"/>
    <w:rsid w:val="004766FE"/>
    <w:rsid w:val="0047679A"/>
    <w:rsid w:val="00477E21"/>
    <w:rsid w:val="004828CE"/>
    <w:rsid w:val="00487504"/>
    <w:rsid w:val="00497F38"/>
    <w:rsid w:val="004A3655"/>
    <w:rsid w:val="004A4EC3"/>
    <w:rsid w:val="004B2309"/>
    <w:rsid w:val="004C7E95"/>
    <w:rsid w:val="004D75F0"/>
    <w:rsid w:val="004E000D"/>
    <w:rsid w:val="004E03ED"/>
    <w:rsid w:val="004E1073"/>
    <w:rsid w:val="004E563E"/>
    <w:rsid w:val="004F01C8"/>
    <w:rsid w:val="004F457E"/>
    <w:rsid w:val="005000AD"/>
    <w:rsid w:val="005017C2"/>
    <w:rsid w:val="00502D22"/>
    <w:rsid w:val="005066AA"/>
    <w:rsid w:val="005257D4"/>
    <w:rsid w:val="00536F4B"/>
    <w:rsid w:val="00565099"/>
    <w:rsid w:val="0057229A"/>
    <w:rsid w:val="00573FBD"/>
    <w:rsid w:val="0058504B"/>
    <w:rsid w:val="00586E0E"/>
    <w:rsid w:val="005A2701"/>
    <w:rsid w:val="005C4EBD"/>
    <w:rsid w:val="005E2416"/>
    <w:rsid w:val="005E6D26"/>
    <w:rsid w:val="005F483B"/>
    <w:rsid w:val="00601500"/>
    <w:rsid w:val="00631D31"/>
    <w:rsid w:val="00636F45"/>
    <w:rsid w:val="00647E4B"/>
    <w:rsid w:val="00657171"/>
    <w:rsid w:val="00663B85"/>
    <w:rsid w:val="0067306A"/>
    <w:rsid w:val="0068201A"/>
    <w:rsid w:val="00694477"/>
    <w:rsid w:val="006B2FDD"/>
    <w:rsid w:val="006B2FED"/>
    <w:rsid w:val="006C1C4D"/>
    <w:rsid w:val="006C3367"/>
    <w:rsid w:val="006D03B1"/>
    <w:rsid w:val="006D12E0"/>
    <w:rsid w:val="006D1521"/>
    <w:rsid w:val="006D1C3C"/>
    <w:rsid w:val="006E6818"/>
    <w:rsid w:val="006F17A8"/>
    <w:rsid w:val="0071520E"/>
    <w:rsid w:val="00715AB6"/>
    <w:rsid w:val="00715F8D"/>
    <w:rsid w:val="00717433"/>
    <w:rsid w:val="00721C5E"/>
    <w:rsid w:val="00727985"/>
    <w:rsid w:val="00733555"/>
    <w:rsid w:val="007421AD"/>
    <w:rsid w:val="00746389"/>
    <w:rsid w:val="00746BE6"/>
    <w:rsid w:val="007512C7"/>
    <w:rsid w:val="00756536"/>
    <w:rsid w:val="0076639C"/>
    <w:rsid w:val="007734E6"/>
    <w:rsid w:val="0078067E"/>
    <w:rsid w:val="00785741"/>
    <w:rsid w:val="007A1F18"/>
    <w:rsid w:val="007B2076"/>
    <w:rsid w:val="007D5860"/>
    <w:rsid w:val="007D5C20"/>
    <w:rsid w:val="007E7A37"/>
    <w:rsid w:val="007E7FB0"/>
    <w:rsid w:val="00834BB7"/>
    <w:rsid w:val="0084252E"/>
    <w:rsid w:val="008531F0"/>
    <w:rsid w:val="0085457E"/>
    <w:rsid w:val="008622B7"/>
    <w:rsid w:val="00865B4A"/>
    <w:rsid w:val="00867FB8"/>
    <w:rsid w:val="00870A08"/>
    <w:rsid w:val="00886386"/>
    <w:rsid w:val="00892424"/>
    <w:rsid w:val="008A0148"/>
    <w:rsid w:val="008A3F8E"/>
    <w:rsid w:val="008A4623"/>
    <w:rsid w:val="008E0484"/>
    <w:rsid w:val="008F112E"/>
    <w:rsid w:val="00902532"/>
    <w:rsid w:val="009075E2"/>
    <w:rsid w:val="009128CC"/>
    <w:rsid w:val="00950195"/>
    <w:rsid w:val="009672CE"/>
    <w:rsid w:val="00970257"/>
    <w:rsid w:val="00971722"/>
    <w:rsid w:val="00995F8D"/>
    <w:rsid w:val="009C0ED6"/>
    <w:rsid w:val="009C4566"/>
    <w:rsid w:val="00A00DF9"/>
    <w:rsid w:val="00A20F70"/>
    <w:rsid w:val="00A233C2"/>
    <w:rsid w:val="00A2480E"/>
    <w:rsid w:val="00A274B9"/>
    <w:rsid w:val="00A3527E"/>
    <w:rsid w:val="00A40911"/>
    <w:rsid w:val="00A419A6"/>
    <w:rsid w:val="00A47D4F"/>
    <w:rsid w:val="00A518E1"/>
    <w:rsid w:val="00A72186"/>
    <w:rsid w:val="00A73698"/>
    <w:rsid w:val="00A86D4C"/>
    <w:rsid w:val="00AA253D"/>
    <w:rsid w:val="00AA416A"/>
    <w:rsid w:val="00AA4641"/>
    <w:rsid w:val="00AB4CDB"/>
    <w:rsid w:val="00AB5DC4"/>
    <w:rsid w:val="00AC73F2"/>
    <w:rsid w:val="00AE0D7A"/>
    <w:rsid w:val="00AE1B75"/>
    <w:rsid w:val="00AF6105"/>
    <w:rsid w:val="00B1554C"/>
    <w:rsid w:val="00B20393"/>
    <w:rsid w:val="00B26EF4"/>
    <w:rsid w:val="00B30B45"/>
    <w:rsid w:val="00B54576"/>
    <w:rsid w:val="00B646FB"/>
    <w:rsid w:val="00B64B5B"/>
    <w:rsid w:val="00B9643A"/>
    <w:rsid w:val="00BB541C"/>
    <w:rsid w:val="00BC5C3F"/>
    <w:rsid w:val="00BD1B8C"/>
    <w:rsid w:val="00BF079D"/>
    <w:rsid w:val="00C002CA"/>
    <w:rsid w:val="00C0148A"/>
    <w:rsid w:val="00C12F9A"/>
    <w:rsid w:val="00C15B56"/>
    <w:rsid w:val="00C16710"/>
    <w:rsid w:val="00C17E69"/>
    <w:rsid w:val="00C201F1"/>
    <w:rsid w:val="00C20D2A"/>
    <w:rsid w:val="00C20EB8"/>
    <w:rsid w:val="00C26E45"/>
    <w:rsid w:val="00C43485"/>
    <w:rsid w:val="00C45F38"/>
    <w:rsid w:val="00C47414"/>
    <w:rsid w:val="00C47631"/>
    <w:rsid w:val="00C52673"/>
    <w:rsid w:val="00C639AF"/>
    <w:rsid w:val="00C75DF3"/>
    <w:rsid w:val="00C96424"/>
    <w:rsid w:val="00CA1ED4"/>
    <w:rsid w:val="00CC2367"/>
    <w:rsid w:val="00CD00BF"/>
    <w:rsid w:val="00CD0B02"/>
    <w:rsid w:val="00CE0D16"/>
    <w:rsid w:val="00CF4C3A"/>
    <w:rsid w:val="00D007E3"/>
    <w:rsid w:val="00D02DFF"/>
    <w:rsid w:val="00D173A8"/>
    <w:rsid w:val="00D2271E"/>
    <w:rsid w:val="00D2368C"/>
    <w:rsid w:val="00D5253B"/>
    <w:rsid w:val="00D54E4E"/>
    <w:rsid w:val="00D57A8D"/>
    <w:rsid w:val="00D57AEE"/>
    <w:rsid w:val="00D718AA"/>
    <w:rsid w:val="00D71E76"/>
    <w:rsid w:val="00D72F12"/>
    <w:rsid w:val="00D732A5"/>
    <w:rsid w:val="00D737A9"/>
    <w:rsid w:val="00D7570D"/>
    <w:rsid w:val="00D801DC"/>
    <w:rsid w:val="00D825D6"/>
    <w:rsid w:val="00DA13C3"/>
    <w:rsid w:val="00DA7211"/>
    <w:rsid w:val="00DD4CEA"/>
    <w:rsid w:val="00DE29C3"/>
    <w:rsid w:val="00DE507E"/>
    <w:rsid w:val="00DE5BF8"/>
    <w:rsid w:val="00DF4B7C"/>
    <w:rsid w:val="00DF7BA5"/>
    <w:rsid w:val="00E02BA3"/>
    <w:rsid w:val="00E07E83"/>
    <w:rsid w:val="00E14F0F"/>
    <w:rsid w:val="00E23326"/>
    <w:rsid w:val="00E35300"/>
    <w:rsid w:val="00E4641B"/>
    <w:rsid w:val="00E573BE"/>
    <w:rsid w:val="00E61CE6"/>
    <w:rsid w:val="00E94B13"/>
    <w:rsid w:val="00EC5FE9"/>
    <w:rsid w:val="00EC7340"/>
    <w:rsid w:val="00EC7341"/>
    <w:rsid w:val="00ED18BE"/>
    <w:rsid w:val="00ED68B9"/>
    <w:rsid w:val="00ED7D74"/>
    <w:rsid w:val="00EE13A1"/>
    <w:rsid w:val="00EF2F5D"/>
    <w:rsid w:val="00F02587"/>
    <w:rsid w:val="00F06F3D"/>
    <w:rsid w:val="00F113D9"/>
    <w:rsid w:val="00F156D2"/>
    <w:rsid w:val="00F167A5"/>
    <w:rsid w:val="00F45E68"/>
    <w:rsid w:val="00F51C71"/>
    <w:rsid w:val="00F6238D"/>
    <w:rsid w:val="00F66E6E"/>
    <w:rsid w:val="00F7007B"/>
    <w:rsid w:val="00F84E89"/>
    <w:rsid w:val="00F95B4C"/>
    <w:rsid w:val="00FA02AE"/>
    <w:rsid w:val="00FA1359"/>
    <w:rsid w:val="00FA7287"/>
    <w:rsid w:val="00FB010D"/>
    <w:rsid w:val="00FB2D81"/>
    <w:rsid w:val="00FC1649"/>
    <w:rsid w:val="00FC4E31"/>
    <w:rsid w:val="00FD6A88"/>
    <w:rsid w:val="00FD7C45"/>
    <w:rsid w:val="00FE0D47"/>
    <w:rsid w:val="00FE1F2D"/>
    <w:rsid w:val="00FE5411"/>
    <w:rsid w:val="00FF3F69"/>
    <w:rsid w:val="00FF59CB"/>
    <w:rsid w:val="1578B6FD"/>
    <w:rsid w:val="1807572B"/>
    <w:rsid w:val="1CEF6C72"/>
    <w:rsid w:val="2A0DCB66"/>
    <w:rsid w:val="39DD33BF"/>
    <w:rsid w:val="53FB3680"/>
    <w:rsid w:val="56302532"/>
    <w:rsid w:val="5F8DD91B"/>
    <w:rsid w:val="7E8B48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AD13B88C-161A-452A-A592-59C04F7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5" ma:contentTypeDescription="Create a new document." ma:contentTypeScope="" ma:versionID="b34e1506f057980db359f47ce971e82d">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102e35d5c7afef61db20eb3cf5e30440"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For adding notes to procurement folders" ma:format="Dropdown" ma:internalName="Notes">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e0c34a-bacb-43f2-b163-fa169120ca92">
      <Terms xmlns="http://schemas.microsoft.com/office/infopath/2007/PartnerControls"/>
    </lcf76f155ced4ddcb4097134ff3c332f>
    <TaxCatchAll xmlns="f7cb76b4-62a9-4303-94a0-bc1f219e24b1" xsi:nil="true"/>
    <_Flow_SignoffStatus xmlns="95e0c34a-bacb-43f2-b163-fa169120ca92" xsi:nil="true"/>
    <Information xmlns="95e0c34a-bacb-43f2-b163-fa169120ca92" xsi:nil="true"/>
    <Agency xmlns="95e0c34a-bacb-43f2-b163-fa169120ca92" xsi:nil="true"/>
    <Status xmlns="95e0c34a-bacb-43f2-b163-fa169120ca92" xsi:nil="true"/>
    <Notes xmlns="95e0c34a-bacb-43f2-b163-fa169120ca92" xsi:nil="true"/>
  </documentManagement>
</p:properties>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DC054715-E154-4A59-8DBB-8AEFE5F42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c34a-bacb-43f2-b163-fa169120ca92"/>
    <ds:schemaRef ds:uri="f7cb76b4-62a9-4303-94a0-bc1f219e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0D486EFD-65BC-4DE6-A820-132570A6F814}">
  <ds:schemaRefs>
    <ds:schemaRef ds:uri="http://purl.org/dc/elements/1.1/"/>
    <ds:schemaRef ds:uri="http://purl.org/dc/terms/"/>
    <ds:schemaRef ds:uri="f7cb76b4-62a9-4303-94a0-bc1f219e24b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95e0c34a-bacb-43f2-b163-fa169120ca9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4</cp:revision>
  <cp:lastPrinted>2024-03-15T11:17:00Z</cp:lastPrinted>
  <dcterms:created xsi:type="dcterms:W3CDTF">2025-09-12T00:23:00Z</dcterms:created>
  <dcterms:modified xsi:type="dcterms:W3CDTF">2025-11-20T06:05:00Z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367442089</vt:i4>
  </property>
  <property fmtid="{D5CDD505-2E9C-101B-9397-08002B2CF9AE}" pid="10" name="_NewReviewCycle">
    <vt:lpwstr/>
  </property>
  <property fmtid="{D5CDD505-2E9C-101B-9397-08002B2CF9AE}" pid="11" name="_EmailSubject">
    <vt:lpwstr>JDF Template - Response from People and Payroll Services [SR-0011424]</vt:lpwstr>
  </property>
  <property fmtid="{D5CDD505-2E9C-101B-9397-08002B2CF9AE}" pid="12" name="_AuthorEmail">
    <vt:lpwstr>Gavin.Seredynski@dpc.wa.gov.au</vt:lpwstr>
  </property>
  <property fmtid="{D5CDD505-2E9C-101B-9397-08002B2CF9AE}" pid="13" name="_AuthorEmailDisplayName">
    <vt:lpwstr>Seredynski, Gavin</vt:lpwstr>
  </property>
  <property fmtid="{D5CDD505-2E9C-101B-9397-08002B2CF9AE}" pid="14" name="_PreviousAdHocReviewCycleID">
    <vt:i4>2016571752</vt:i4>
  </property>
  <property fmtid="{D5CDD505-2E9C-101B-9397-08002B2CF9AE}" pid="15" name="ContentTypeId">
    <vt:lpwstr>0x0101002780DF3408C3354690BF4DD871D40535</vt:lpwstr>
  </property>
  <property fmtid="{D5CDD505-2E9C-101B-9397-08002B2CF9AE}" pid="16" name="_ReviewingToolsShownOnce">
    <vt:lpwstr/>
  </property>
  <property fmtid="{D5CDD505-2E9C-101B-9397-08002B2CF9AE}" pid="17" name="MediaServiceImageTags">
    <vt:lpwstr/>
  </property>
  <property fmtid="{D5CDD505-2E9C-101B-9397-08002B2CF9AE}" pid="18" name="docLang">
    <vt:lpwstr>en</vt:lpwstr>
  </property>
</Properties>
</file>