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642EB741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886D0D" w:rsidRPr="00886D0D">
        <w:t>Graduate Officer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1"/>
        <w:gridCol w:w="2569"/>
        <w:gridCol w:w="2331"/>
      </w:tblGrid>
      <w:tr w:rsidR="00216769" w:rsidRPr="00E32F00" w14:paraId="34B3F155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331" w:type="dxa"/>
          </w:tcPr>
          <w:p w14:paraId="73AE0A4B" w14:textId="109421EA" w:rsidR="00216769" w:rsidRPr="00E32F00" w:rsidRDefault="00886D0D" w:rsidP="004F034E">
            <w:pPr>
              <w:pStyle w:val="TableText"/>
            </w:pPr>
            <w:r>
              <w:t xml:space="preserve">Generic 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5B4AEC42" w:rsidR="00216769" w:rsidRPr="00E32F00" w:rsidRDefault="00000000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886D0D">
                  <w:t>Level 3</w:t>
                </w:r>
              </w:sdtContent>
            </w:sdt>
          </w:p>
        </w:tc>
      </w:tr>
      <w:tr w:rsidR="00216769" w:rsidRPr="00E32F00" w14:paraId="60EA11F1" w14:textId="77777777" w:rsidTr="005A171A">
        <w:trPr>
          <w:trHeight w:val="283"/>
        </w:trPr>
        <w:tc>
          <w:tcPr>
            <w:tcW w:w="2331" w:type="dxa"/>
            <w:shd w:val="clear" w:color="auto" w:fill="9DCECD"/>
          </w:tcPr>
          <w:p w14:paraId="763E1A33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Division:</w:t>
            </w:r>
          </w:p>
        </w:tc>
        <w:tc>
          <w:tcPr>
            <w:tcW w:w="2331" w:type="dxa"/>
          </w:tcPr>
          <w:p w14:paraId="47800BF1" w14:textId="3893A30B" w:rsidR="00216769" w:rsidRPr="00E32F00" w:rsidRDefault="00886D0D" w:rsidP="004F034E">
            <w:pPr>
              <w:pStyle w:val="TableText"/>
            </w:pPr>
            <w:r>
              <w:t>Various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63C8A164" w:rsidR="00216769" w:rsidRPr="00E32F00" w:rsidRDefault="00886D0D" w:rsidP="004F034E">
            <w:pPr>
              <w:pStyle w:val="TableText"/>
            </w:pPr>
            <w:r>
              <w:t>Various</w:t>
            </w:r>
          </w:p>
        </w:tc>
      </w:tr>
      <w:tr w:rsidR="00216769" w:rsidRPr="00E32F00" w14:paraId="1B984211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331" w:type="dxa"/>
          </w:tcPr>
          <w:p w14:paraId="5AD788F7" w14:textId="71EF5D4D" w:rsidR="00216769" w:rsidRPr="00E32F00" w:rsidRDefault="00886D0D" w:rsidP="004F034E">
            <w:pPr>
              <w:pStyle w:val="TableText"/>
            </w:pPr>
            <w:r>
              <w:t>Various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21F92258" w:rsidR="00216769" w:rsidRPr="00E32F00" w:rsidRDefault="00886D0D" w:rsidP="004F034E">
            <w:pPr>
              <w:pStyle w:val="TableText"/>
            </w:pPr>
            <w:r>
              <w:t>Nil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6570489F" w14:textId="4DC13B13" w:rsidR="00403769" w:rsidRDefault="00886D0D" w:rsidP="00886D0D">
      <w:r w:rsidRPr="00886D0D">
        <w:t xml:space="preserve">To contribute to a range of initiatives that build the capacity of people and organisations resulting in increased participation in community activities by Western Australians.  Graduates will also take on a range of exciting projects that will develop their networks and skills within </w:t>
      </w:r>
      <w:r>
        <w:t>CITS</w:t>
      </w:r>
      <w:r w:rsidRPr="00886D0D">
        <w:t>.</w:t>
      </w:r>
    </w:p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43FDB729" w14:textId="19312A1A" w:rsidR="00DF73AB" w:rsidRPr="00106DB7" w:rsidRDefault="00886D0D" w:rsidP="004F034E">
      <w:r w:rsidRPr="00886D0D">
        <w:t xml:space="preserve">The </w:t>
      </w:r>
      <w:r w:rsidR="004E7C20">
        <w:t xml:space="preserve">CITS </w:t>
      </w:r>
      <w:r w:rsidRPr="00886D0D">
        <w:t xml:space="preserve"> Graduate Program, is a structured 18-month program, with customised rotations through diverse business areas, matching graduate development goals and area of interest.</w:t>
      </w: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461D018B" w14:textId="5FCA47BA" w:rsidR="004E7C20" w:rsidRDefault="004E7C20" w:rsidP="004E7C20">
      <w:pPr>
        <w:pStyle w:val="ListParagraph"/>
        <w:ind w:left="993"/>
      </w:pPr>
      <w:r>
        <w:t>Undertake research, data collection and analysis, and projects relevant to the business area.</w:t>
      </w:r>
    </w:p>
    <w:p w14:paraId="61D10723" w14:textId="67885887" w:rsidR="004E7C20" w:rsidRDefault="004E7C20" w:rsidP="004E7C20">
      <w:pPr>
        <w:pStyle w:val="ListParagraph"/>
        <w:ind w:left="993"/>
      </w:pPr>
      <w:r>
        <w:t xml:space="preserve">In consultation with stakeholders, preparing correspondence on a range of </w:t>
      </w:r>
      <w:r w:rsidR="00394C68">
        <w:t>CITS</w:t>
      </w:r>
      <w:r>
        <w:t xml:space="preserve"> matters including briefing notes, memorandums, reports and minutes.</w:t>
      </w:r>
    </w:p>
    <w:p w14:paraId="2B0BBB28" w14:textId="77777777" w:rsidR="004E7C20" w:rsidRDefault="004E7C20" w:rsidP="004E7C20">
      <w:pPr>
        <w:pStyle w:val="ListParagraph"/>
        <w:ind w:left="993"/>
      </w:pPr>
      <w:r>
        <w:t>Establishing and maintaining effective working relationships and collaborating with internal and external stakeholders to provide and receive information as required.</w:t>
      </w:r>
    </w:p>
    <w:p w14:paraId="7C17C784" w14:textId="00DB0009" w:rsidR="004E7C20" w:rsidRDefault="004E7C20" w:rsidP="004E7C20">
      <w:pPr>
        <w:pStyle w:val="ListParagraph"/>
        <w:ind w:left="993"/>
      </w:pPr>
      <w:r>
        <w:t xml:space="preserve">Participate in, support the coordination of, and represent </w:t>
      </w:r>
      <w:r w:rsidR="00394C68">
        <w:t>CITS</w:t>
      </w:r>
      <w:r>
        <w:t xml:space="preserve"> at career expos and other department events.</w:t>
      </w:r>
    </w:p>
    <w:p w14:paraId="374E18ED" w14:textId="77777777" w:rsidR="004E7C20" w:rsidRDefault="004E7C20" w:rsidP="004E7C20">
      <w:pPr>
        <w:pStyle w:val="ListParagraph"/>
        <w:ind w:left="993"/>
      </w:pPr>
      <w:r>
        <w:t>Liaising with a range of stakeholders which may include Government departments, Cultural Statutory Authorities, local Government offices, external stakeholders, sport and recreation clubs and state sporting organisations.</w:t>
      </w:r>
    </w:p>
    <w:p w14:paraId="5F2F0EB2" w14:textId="68500D0B" w:rsidR="00F26433" w:rsidRPr="00E32F00" w:rsidRDefault="00F26433" w:rsidP="00E03354">
      <w:pPr>
        <w:pStyle w:val="ListParagraph"/>
        <w:ind w:left="993"/>
      </w:pPr>
      <w:r w:rsidRPr="00E32F00">
        <w:t xml:space="preserve">Adheres to Occupational Safety and Health, Equal Opportunity and other legislative requirements in accordance with the parameters of the position. </w:t>
      </w:r>
    </w:p>
    <w:p w14:paraId="2B53B156" w14:textId="7DCF6991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1601DA8B" w14:textId="106FAD0E" w:rsidR="00403769" w:rsidRDefault="00616C23" w:rsidP="001A753D">
      <w:pPr>
        <w:pStyle w:val="ListParagraph"/>
        <w:ind w:left="993"/>
      </w:pPr>
      <w:r>
        <w:t xml:space="preserve">Perform any other duties as assigned or necessary to support the </w:t>
      </w:r>
      <w:r w:rsidR="00CD66C3">
        <w:t xml:space="preserve">objectives of </w:t>
      </w:r>
      <w:r w:rsidR="20017A25">
        <w:t>CITS</w:t>
      </w:r>
      <w:r w:rsidR="002011B6">
        <w:t>.</w:t>
      </w:r>
      <w:r w:rsidR="00C45709">
        <w:t xml:space="preserve"> </w:t>
      </w: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3CB7C476" w14:textId="77777777" w:rsidR="00C022EA" w:rsidRDefault="00C022EA" w:rsidP="00C022EA">
      <w:pPr>
        <w:pStyle w:val="ListParagraph"/>
        <w:numPr>
          <w:ilvl w:val="0"/>
          <w:numId w:val="29"/>
        </w:numPr>
      </w:pPr>
      <w:r>
        <w:t xml:space="preserve">Good communication and interpersonal skills, including the ability to build effective relationships. </w:t>
      </w:r>
    </w:p>
    <w:p w14:paraId="70F8B56F" w14:textId="77777777" w:rsidR="00C022EA" w:rsidRDefault="00C022EA" w:rsidP="00C022EA">
      <w:pPr>
        <w:pStyle w:val="ListParagraph"/>
        <w:numPr>
          <w:ilvl w:val="0"/>
          <w:numId w:val="29"/>
        </w:numPr>
      </w:pPr>
      <w:r>
        <w:t xml:space="preserve">Sound research and problem-solving skills and the ability to identify appropriate solutions. </w:t>
      </w:r>
    </w:p>
    <w:p w14:paraId="105569F9" w14:textId="77777777" w:rsidR="00C022EA" w:rsidRDefault="00C022EA" w:rsidP="00C022EA">
      <w:pPr>
        <w:pStyle w:val="ListParagraph"/>
        <w:numPr>
          <w:ilvl w:val="0"/>
          <w:numId w:val="29"/>
        </w:numPr>
      </w:pPr>
      <w:r>
        <w:lastRenderedPageBreak/>
        <w:t>Initiative and good organisational skills and the ability to multi-task, prioritise, meet deadlines and work effectively within a team.</w:t>
      </w:r>
    </w:p>
    <w:p w14:paraId="37CF38AB" w14:textId="77777777" w:rsidR="00C022EA" w:rsidRDefault="00C022EA" w:rsidP="00C022EA">
      <w:pPr>
        <w:pStyle w:val="ListParagraph"/>
        <w:numPr>
          <w:ilvl w:val="0"/>
          <w:numId w:val="29"/>
        </w:numPr>
      </w:pPr>
      <w:r>
        <w:t xml:space="preserve">Demonstrated ability in the use of Microsoft Office suites. </w:t>
      </w:r>
    </w:p>
    <w:p w14:paraId="23BDCF57" w14:textId="77777777" w:rsidR="00C022EA" w:rsidRDefault="00C022EA" w:rsidP="00C022EA">
      <w:pPr>
        <w:pStyle w:val="ListParagraph"/>
        <w:numPr>
          <w:ilvl w:val="0"/>
          <w:numId w:val="29"/>
        </w:numPr>
      </w:pPr>
      <w:r>
        <w:t>Tertiary degree completed in the previous two years from date of advertising.</w:t>
      </w:r>
    </w:p>
    <w:p w14:paraId="6EC254F6" w14:textId="50D815C3" w:rsidR="00B71D04" w:rsidRPr="00E32F00" w:rsidRDefault="00B71D04" w:rsidP="00C022EA">
      <w:pPr>
        <w:pStyle w:val="ListParagraph"/>
        <w:numPr>
          <w:ilvl w:val="0"/>
          <w:numId w:val="0"/>
        </w:numPr>
        <w:ind w:left="1004"/>
      </w:pP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035CB2FA" w14:textId="5B845467" w:rsidR="009A3C66" w:rsidRDefault="004E7C20" w:rsidP="00C022EA">
      <w:pPr>
        <w:pStyle w:val="ListParagraph"/>
        <w:numPr>
          <w:ilvl w:val="0"/>
          <w:numId w:val="32"/>
        </w:numPr>
      </w:pPr>
      <w:r>
        <w:t xml:space="preserve">Nil </w:t>
      </w: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1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13A3447B" w:rsidR="00DC44D7" w:rsidRPr="00407476" w:rsidRDefault="006508CB" w:rsidP="073FA27A">
      <w:pPr>
        <w:rPr>
          <w:rFonts w:ascii="Arial" w:hAnsi="Arial" w:cs="Arial"/>
          <w:color w:val="000000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0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15:color w:val="0D8280"/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Content>
          <w:r w:rsidR="004E7C20">
            <w:rPr>
              <w:b/>
              <w:bCs/>
              <w:color w:val="0D80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3ED963D4" w14:textId="605C6BCD" w:rsidR="001A0F28" w:rsidRDefault="00E74737" w:rsidP="00C022EA">
      <w:pPr>
        <w:pStyle w:val="Heading2"/>
      </w:pPr>
      <w:r>
        <w:br w:type="page"/>
      </w:r>
      <w:r w:rsidR="00AA7367" w:rsidRPr="00407476">
        <w:lastRenderedPageBreak/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17F745BB" w14:textId="733B799D" w:rsidR="00B91FFC" w:rsidRDefault="00181CB0" w:rsidP="00C022EA">
      <w:r w:rsidRPr="001D63A8">
        <w:t>All department positions require a current Criminal History Check (National Police Certificate or equivalent) and 100-point Identification Check prior to commencement.</w:t>
      </w: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360F9BDE" w14:textId="77D7B8FF" w:rsidR="00280DC3" w:rsidRDefault="00C022EA" w:rsidP="00EC7CCD">
      <w:pPr>
        <w:pStyle w:val="ListParagraph"/>
        <w:numPr>
          <w:ilvl w:val="0"/>
          <w:numId w:val="30"/>
        </w:numPr>
      </w:pPr>
      <w:r>
        <w:t xml:space="preserve">Nil </w:t>
      </w:r>
    </w:p>
    <w:p w14:paraId="55FC049C" w14:textId="633C7314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1BD23F08" w:rsidR="004E7C20" w:rsidRPr="001D63A8" w:rsidRDefault="004E7C20" w:rsidP="004E7C20">
            <w:r>
              <w:t>23 October 2025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7192" w14:textId="77777777" w:rsidR="00F420DE" w:rsidRDefault="00F420DE" w:rsidP="004F034E">
      <w:r>
        <w:separator/>
      </w:r>
    </w:p>
    <w:p w14:paraId="357EAE67" w14:textId="77777777" w:rsidR="00F420DE" w:rsidRDefault="00F420DE" w:rsidP="004F034E"/>
  </w:endnote>
  <w:endnote w:type="continuationSeparator" w:id="0">
    <w:p w14:paraId="004AF6B6" w14:textId="77777777" w:rsidR="00F420DE" w:rsidRDefault="00F420DE" w:rsidP="004F034E">
      <w:r>
        <w:continuationSeparator/>
      </w:r>
    </w:p>
    <w:p w14:paraId="56E7660E" w14:textId="77777777" w:rsidR="00F420DE" w:rsidRDefault="00F420DE" w:rsidP="004F034E"/>
  </w:endnote>
  <w:endnote w:type="continuationNotice" w:id="1">
    <w:p w14:paraId="52A16E80" w14:textId="77777777" w:rsidR="00F420DE" w:rsidRDefault="00F420DE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 w14:anchorId="4EF3AD66">
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color="#1f362e" from="16.35pt,-.5pt" to="16.35pt,11.9pt" w14:anchorId="1B61E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05EE6B96" w:rsidR="005A171A" w:rsidRPr="00FB48C6" w:rsidRDefault="005A171A" w:rsidP="00390266">
                          <w:pPr>
                            <w:pStyle w:val="Footer"/>
                            <w:shd w:val="clear" w:color="auto" w:fill="0D8280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05EE6B96" w:rsidR="005A171A" w:rsidRPr="00FB48C6" w:rsidRDefault="005A171A" w:rsidP="00390266">
                    <w:pPr>
                      <w:pStyle w:val="Footer"/>
                      <w:shd w:val="clear" w:color="auto" w:fill="0D8280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73FA27A">
    <w:pPr>
      <w:pStyle w:val="Footer"/>
      <w:rPr>
        <w:color w:val="auto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631AE635" w14:textId="1C04F9C3" w:rsidR="00CF4982" w:rsidRDefault="00CF4982" w:rsidP="000C2A47">
                          <w:pPr>
                            <w:pStyle w:val="Footer"/>
                            <w:ind w:left="720"/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631AE635" w14:textId="1C04F9C3" w:rsidR="00CF4982" w:rsidRDefault="00CF4982" w:rsidP="000C2A47">
                    <w:pPr>
                      <w:pStyle w:val="Footer"/>
                      <w:ind w:left="720"/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73FA27A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73FA27A">
      <w:t xml:space="preserve">       </w:t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F1D8" w14:textId="77777777" w:rsidR="00F420DE" w:rsidRDefault="00F420DE" w:rsidP="004F034E">
      <w:r>
        <w:separator/>
      </w:r>
    </w:p>
    <w:p w14:paraId="3788A670" w14:textId="77777777" w:rsidR="00F420DE" w:rsidRDefault="00F420DE" w:rsidP="004F034E"/>
  </w:footnote>
  <w:footnote w:type="continuationSeparator" w:id="0">
    <w:p w14:paraId="31815FF3" w14:textId="77777777" w:rsidR="00F420DE" w:rsidRDefault="00F420DE" w:rsidP="004F034E">
      <w:r>
        <w:continuationSeparator/>
      </w:r>
    </w:p>
    <w:p w14:paraId="4B4ABA9A" w14:textId="77777777" w:rsidR="00F420DE" w:rsidRDefault="00F420DE" w:rsidP="004F034E"/>
  </w:footnote>
  <w:footnote w:type="continuationNotice" w:id="1">
    <w:p w14:paraId="5DFEF5B0" w14:textId="77777777" w:rsidR="00F420DE" w:rsidRDefault="00F420DE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930C61C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390266" w:rsidRPr="00390266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390266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2DEABAED">
            <v:rect id="Rectangle 1122664609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d8280" strokecolor="window" strokeweight="2pt" w14:anchorId="4BAB9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 w14:anchorId="74AE1EE5">
            <v:rect id="Rectangle 4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d8280" strokecolor="window" strokeweight="2pt" w14:anchorId="2FFD6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6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3"/>
  </w:num>
  <w:num w:numId="2" w16cid:durableId="726149911">
    <w:abstractNumId w:val="24"/>
  </w:num>
  <w:num w:numId="3" w16cid:durableId="334038920">
    <w:abstractNumId w:val="13"/>
  </w:num>
  <w:num w:numId="4" w16cid:durableId="910433445">
    <w:abstractNumId w:val="25"/>
  </w:num>
  <w:num w:numId="5" w16cid:durableId="976297257">
    <w:abstractNumId w:val="16"/>
  </w:num>
  <w:num w:numId="6" w16cid:durableId="328018657">
    <w:abstractNumId w:val="31"/>
  </w:num>
  <w:num w:numId="7" w16cid:durableId="2076658215">
    <w:abstractNumId w:val="6"/>
  </w:num>
  <w:num w:numId="8" w16cid:durableId="1591620421">
    <w:abstractNumId w:val="14"/>
  </w:num>
  <w:num w:numId="9" w16cid:durableId="17006256">
    <w:abstractNumId w:val="23"/>
  </w:num>
  <w:num w:numId="10" w16cid:durableId="1903563376">
    <w:abstractNumId w:val="19"/>
  </w:num>
  <w:num w:numId="11" w16cid:durableId="140969372">
    <w:abstractNumId w:val="9"/>
  </w:num>
  <w:num w:numId="12" w16cid:durableId="2032602438">
    <w:abstractNumId w:val="8"/>
  </w:num>
  <w:num w:numId="13" w16cid:durableId="88745793">
    <w:abstractNumId w:val="5"/>
  </w:num>
  <w:num w:numId="14" w16cid:durableId="492769001">
    <w:abstractNumId w:val="10"/>
  </w:num>
  <w:num w:numId="15" w16cid:durableId="2145541274">
    <w:abstractNumId w:val="18"/>
  </w:num>
  <w:num w:numId="16" w16cid:durableId="411853694">
    <w:abstractNumId w:val="30"/>
  </w:num>
  <w:num w:numId="17" w16cid:durableId="568659907">
    <w:abstractNumId w:val="12"/>
  </w:num>
  <w:num w:numId="18" w16cid:durableId="1892839358">
    <w:abstractNumId w:val="2"/>
  </w:num>
  <w:num w:numId="19" w16cid:durableId="1563440370">
    <w:abstractNumId w:val="28"/>
  </w:num>
  <w:num w:numId="20" w16cid:durableId="1893881933">
    <w:abstractNumId w:val="4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1"/>
  </w:num>
  <w:num w:numId="24" w16cid:durableId="393236011">
    <w:abstractNumId w:val="21"/>
  </w:num>
  <w:num w:numId="25" w16cid:durableId="160050575">
    <w:abstractNumId w:val="15"/>
  </w:num>
  <w:num w:numId="26" w16cid:durableId="144201119">
    <w:abstractNumId w:val="17"/>
  </w:num>
  <w:num w:numId="27" w16cid:durableId="870416179">
    <w:abstractNumId w:val="7"/>
  </w:num>
  <w:num w:numId="28" w16cid:durableId="899830477">
    <w:abstractNumId w:val="22"/>
  </w:num>
  <w:num w:numId="29" w16cid:durableId="246886528">
    <w:abstractNumId w:val="27"/>
  </w:num>
  <w:num w:numId="30" w16cid:durableId="1147238472">
    <w:abstractNumId w:val="20"/>
  </w:num>
  <w:num w:numId="31" w16cid:durableId="1434015982">
    <w:abstractNumId w:val="26"/>
  </w:num>
  <w:num w:numId="32" w16cid:durableId="121847958">
    <w:abstractNumId w:val="29"/>
  </w:num>
  <w:num w:numId="33" w16cid:durableId="118956601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2A47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9D7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0F4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2A8E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90266"/>
    <w:rsid w:val="003910DE"/>
    <w:rsid w:val="0039307F"/>
    <w:rsid w:val="003931D2"/>
    <w:rsid w:val="00394C68"/>
    <w:rsid w:val="003956F2"/>
    <w:rsid w:val="00395BC7"/>
    <w:rsid w:val="003A24C3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E00"/>
    <w:rsid w:val="00411F17"/>
    <w:rsid w:val="00412334"/>
    <w:rsid w:val="00412398"/>
    <w:rsid w:val="0041459E"/>
    <w:rsid w:val="00415806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528"/>
    <w:rsid w:val="004C061E"/>
    <w:rsid w:val="004C1992"/>
    <w:rsid w:val="004C26E1"/>
    <w:rsid w:val="004D6BA2"/>
    <w:rsid w:val="004E101A"/>
    <w:rsid w:val="004E2350"/>
    <w:rsid w:val="004E4F30"/>
    <w:rsid w:val="004E70AD"/>
    <w:rsid w:val="004E7C20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4A28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0F08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5703B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4F63"/>
    <w:rsid w:val="006C74FC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387D"/>
    <w:rsid w:val="00707AFD"/>
    <w:rsid w:val="00710A34"/>
    <w:rsid w:val="00714A30"/>
    <w:rsid w:val="0071763B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86D0D"/>
    <w:rsid w:val="00891A04"/>
    <w:rsid w:val="00891CA3"/>
    <w:rsid w:val="0089326D"/>
    <w:rsid w:val="00893E7D"/>
    <w:rsid w:val="0089405C"/>
    <w:rsid w:val="00895E83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4E15"/>
    <w:rsid w:val="00A14E21"/>
    <w:rsid w:val="00A16505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906F9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648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377A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22E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6AE1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7E3"/>
    <w:rsid w:val="00E95A0F"/>
    <w:rsid w:val="00EA1127"/>
    <w:rsid w:val="00EA1857"/>
    <w:rsid w:val="00EA1C72"/>
    <w:rsid w:val="00EA2595"/>
    <w:rsid w:val="00EA27E4"/>
    <w:rsid w:val="00EA3C26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3CC"/>
    <w:rsid w:val="00F23A49"/>
    <w:rsid w:val="00F26433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0DE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73FA27A"/>
    <w:rsid w:val="0A0A130B"/>
    <w:rsid w:val="0E044F40"/>
    <w:rsid w:val="11EA816F"/>
    <w:rsid w:val="17273EE8"/>
    <w:rsid w:val="182D2B13"/>
    <w:rsid w:val="194E7753"/>
    <w:rsid w:val="1BED51E4"/>
    <w:rsid w:val="1F11EFE8"/>
    <w:rsid w:val="20017A25"/>
    <w:rsid w:val="21B22E28"/>
    <w:rsid w:val="27359A3F"/>
    <w:rsid w:val="2C60EB2D"/>
    <w:rsid w:val="2ED1D2F7"/>
    <w:rsid w:val="3C13F078"/>
    <w:rsid w:val="43885212"/>
    <w:rsid w:val="48A45C24"/>
    <w:rsid w:val="53C1C81F"/>
    <w:rsid w:val="56D89E3B"/>
    <w:rsid w:val="5B2597E8"/>
    <w:rsid w:val="5F4B6AEE"/>
    <w:rsid w:val="612845F0"/>
    <w:rsid w:val="627CC468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leadership-expectation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F233CC" w:rsidP="00F233CC">
          <w:pPr>
            <w:pStyle w:val="43241A5297E447E896466E0F6754DE623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F233CC" w:rsidP="00F233CC">
          <w:pPr>
            <w:pStyle w:val="E663D6FE93B54878875A33AF904F28601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1600F4"/>
    <w:rsid w:val="001B2A8E"/>
    <w:rsid w:val="002824A8"/>
    <w:rsid w:val="00306CBD"/>
    <w:rsid w:val="00351A50"/>
    <w:rsid w:val="003549A0"/>
    <w:rsid w:val="003A24C3"/>
    <w:rsid w:val="00411E00"/>
    <w:rsid w:val="00454EF4"/>
    <w:rsid w:val="004845DC"/>
    <w:rsid w:val="004C1C93"/>
    <w:rsid w:val="005726BF"/>
    <w:rsid w:val="005C62F9"/>
    <w:rsid w:val="005F141E"/>
    <w:rsid w:val="00607C9E"/>
    <w:rsid w:val="0071763B"/>
    <w:rsid w:val="007550E1"/>
    <w:rsid w:val="007B4AFA"/>
    <w:rsid w:val="007D01F2"/>
    <w:rsid w:val="009A0FBC"/>
    <w:rsid w:val="00A22608"/>
    <w:rsid w:val="00B53CCA"/>
    <w:rsid w:val="00CA1A5D"/>
    <w:rsid w:val="00DA43B7"/>
    <w:rsid w:val="00EA60A8"/>
    <w:rsid w:val="00F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3CC"/>
    <w:rPr>
      <w:color w:val="808080"/>
    </w:rPr>
  </w:style>
  <w:style w:type="paragraph" w:customStyle="1" w:styleId="43241A5297E447E896466E0F6754DE623">
    <w:name w:val="43241A5297E447E896466E0F6754DE623"/>
    <w:rsid w:val="00F233CC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E663D6FE93B54878875A33AF904F28601">
    <w:name w:val="E663D6FE93B54878875A33AF904F28601"/>
    <w:rsid w:val="00F233CC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93FA9B44E940BAD14F619B118211" ma:contentTypeVersion="22" ma:contentTypeDescription="Create a new document." ma:contentTypeScope="" ma:versionID="3fea582022bf42c470a9d8e3d804968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a6adef8-3767-4fb8-8ce2-74a495c57942" xmlns:ns4="72c7cd55-4868-451d-9da4-d3236ab362a7" targetNamespace="http://schemas.microsoft.com/office/2006/metadata/properties" ma:root="true" ma:fieldsID="16e1395dcb505fdf7cc9bcb4854a9914" ns1:_="" ns2:_="" ns3:_="" ns4:_="">
    <xsd:import namespace="http://schemas.microsoft.com/sharepoint/v3"/>
    <xsd:import namespace="http://schemas.microsoft.com/sharepoint/v3/fields"/>
    <xsd:import namespace="4a6adef8-3767-4fb8-8ce2-74a495c57942"/>
    <xsd:import namespace="72c7cd55-4868-451d-9da4-d3236ab362a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def8-3767-4fb8-8ce2-74a495c5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cd55-4868-451d-9da4-d3236ab3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0943f8-8478-44a8-89b4-326c565a9d48}" ma:internalName="TaxCatchAll" ma:showField="CatchAllData" ma:web="72c7cd55-4868-451d-9da4-d3236ab3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cd55-4868-451d-9da4-d3236ab362a7" xsi:nil="true"/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  <lcf76f155ced4ddcb4097134ff3c332f xmlns="4a6adef8-3767-4fb8-8ce2-74a495c579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A9A54-ECA1-49D4-9E6D-56B53C4E1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a6adef8-3767-4fb8-8ce2-74a495c57942"/>
    <ds:schemaRef ds:uri="72c7cd55-4868-451d-9da4-d3236ab3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2c7cd55-4868-451d-9da4-d3236ab362a7"/>
    <ds:schemaRef ds:uri="http://schemas.microsoft.com/sharepoint/v3"/>
    <ds:schemaRef ds:uri="http://schemas.microsoft.com/sharepoint/v3/fields"/>
    <ds:schemaRef ds:uri="4a6adef8-3767-4fb8-8ce2-74a495c57942"/>
  </ds:schemaRefs>
</ds:datastoreItem>
</file>

<file path=customXml/itemProps4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2</TotalTime>
  <Pages>3</Pages>
  <Words>501</Words>
  <Characters>2993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Hayat Said</cp:lastModifiedBy>
  <cp:revision>4</cp:revision>
  <cp:lastPrinted>2025-07-10T09:17:00Z</cp:lastPrinted>
  <dcterms:created xsi:type="dcterms:W3CDTF">2025-10-23T01:33:00Z</dcterms:created>
  <dcterms:modified xsi:type="dcterms:W3CDTF">2025-10-23T01:34:00Z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0x010100A19293FA9B44E940BAD14F619B118211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MSIP_Label_31193dad-536d-4929-aabf-ec5c83e193d7_Enabled">
    <vt:lpwstr>true</vt:lpwstr>
  </property>
  <property fmtid="{D5CDD505-2E9C-101B-9397-08002B2CF9AE}" pid="22" name="MSIP_Label_31193dad-536d-4929-aabf-ec5c83e193d7_SetDate">
    <vt:lpwstr>2025-10-20T06:05:27Z</vt:lpwstr>
  </property>
  <property fmtid="{D5CDD505-2E9C-101B-9397-08002B2CF9AE}" pid="23" name="MSIP_Label_31193dad-536d-4929-aabf-ec5c83e193d7_Method">
    <vt:lpwstr>Privileged</vt:lpwstr>
  </property>
  <property fmtid="{D5CDD505-2E9C-101B-9397-08002B2CF9AE}" pid="24" name="MSIP_Label_31193dad-536d-4929-aabf-ec5c83e193d7_Name">
    <vt:lpwstr>OFFICIAL – No Label</vt:lpwstr>
  </property>
  <property fmtid="{D5CDD505-2E9C-101B-9397-08002B2CF9AE}" pid="25" name="MSIP_Label_31193dad-536d-4929-aabf-ec5c83e193d7_SiteId">
    <vt:lpwstr>c1ae0ae2-d504-4287-b6f4-7eafd6648d22</vt:lpwstr>
  </property>
  <property fmtid="{D5CDD505-2E9C-101B-9397-08002B2CF9AE}" pid="26" name="MSIP_Label_31193dad-536d-4929-aabf-ec5c83e193d7_ActionId">
    <vt:lpwstr>256283c2-a024-471b-b480-30e351cd295e</vt:lpwstr>
  </property>
  <property fmtid="{D5CDD505-2E9C-101B-9397-08002B2CF9AE}" pid="27" name="MSIP_Label_31193dad-536d-4929-aabf-ec5c83e193d7_ContentBits">
    <vt:lpwstr>0</vt:lpwstr>
  </property>
  <property fmtid="{D5CDD505-2E9C-101B-9397-08002B2CF9AE}" pid="28" name="MSIP_Label_31193dad-536d-4929-aabf-ec5c83e193d7_Tag">
    <vt:lpwstr>10, 0, 1, 2</vt:lpwstr>
  </property>
</Properties>
</file>