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00" w:rsidRPr="006311DD" w:rsidRDefault="00F22500" w:rsidP="006311DD">
      <w:pPr>
        <w:spacing w:after="0"/>
        <w:rPr>
          <w:rFonts w:ascii="Arial" w:hAnsi="Arial" w:cs="Arial"/>
        </w:rPr>
      </w:pPr>
    </w:p>
    <w:p w:rsidR="0071659E" w:rsidRPr="00C13729" w:rsidRDefault="006311DD" w:rsidP="006311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729">
        <w:rPr>
          <w:rFonts w:ascii="Arial" w:hAnsi="Arial" w:cs="Arial"/>
          <w:b/>
          <w:sz w:val="36"/>
          <w:szCs w:val="36"/>
          <w:u w:val="single"/>
        </w:rPr>
        <w:t>Job Description Form</w:t>
      </w:r>
    </w:p>
    <w:p w:rsidR="006311DD" w:rsidRPr="00C13729" w:rsidRDefault="005F01DA" w:rsidP="00C137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Senior Case Manager</w:t>
      </w:r>
    </w:p>
    <w:p w:rsidR="00C13729" w:rsidRPr="00C13729" w:rsidRDefault="005F01DA" w:rsidP="00C137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Generic</w:t>
      </w:r>
    </w:p>
    <w:p w:rsidR="00452547" w:rsidRPr="00D725BE" w:rsidRDefault="00A04356" w:rsidP="006311DD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P</w:t>
      </w:r>
      <w:r w:rsidR="006311DD" w:rsidRPr="00D725BE">
        <w:rPr>
          <w:rFonts w:ascii="Arial" w:hAnsi="Arial" w:cs="Arial"/>
          <w:b/>
        </w:rPr>
        <w:t>OSITION</w:t>
      </w:r>
      <w:r w:rsidRPr="00D725BE">
        <w:rPr>
          <w:rFonts w:ascii="Arial" w:hAnsi="Arial" w:cs="Arial"/>
          <w:b/>
        </w:rPr>
        <w:t xml:space="preserve"> D</w:t>
      </w:r>
      <w:r w:rsidR="006311DD" w:rsidRPr="00D725BE">
        <w:rPr>
          <w:rFonts w:ascii="Arial" w:hAnsi="Arial" w:cs="Arial"/>
          <w:b/>
        </w:rPr>
        <w:t>ETAILS</w:t>
      </w:r>
    </w:p>
    <w:p w:rsidR="006311DD" w:rsidRPr="00D725BE" w:rsidRDefault="00DB7A2E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6311DD" w:rsidRPr="00D725BE" w:rsidRDefault="00C13729" w:rsidP="00DE7B4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Classification Level: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  <w:t>Level</w:t>
      </w:r>
      <w:r w:rsidR="002C34EE" w:rsidRPr="00D725BE">
        <w:rPr>
          <w:rFonts w:ascii="Arial" w:hAnsi="Arial" w:cs="Arial"/>
          <w:sz w:val="20"/>
          <w:szCs w:val="20"/>
        </w:rPr>
        <w:t xml:space="preserve"> </w:t>
      </w:r>
      <w:r w:rsidR="005F01DA">
        <w:rPr>
          <w:rFonts w:ascii="Arial" w:hAnsi="Arial" w:cs="Arial"/>
          <w:sz w:val="20"/>
          <w:szCs w:val="20"/>
        </w:rPr>
        <w:t>5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Award/Agreement: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  <w:t>PSA 1992 / PSGOGA 2014</w:t>
      </w:r>
    </w:p>
    <w:p w:rsidR="006311DD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Position Status: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>Permanent Full Time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Organisation Unit: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5F01DA" w:rsidRPr="005F01DA">
        <w:rPr>
          <w:rFonts w:ascii="Arial" w:hAnsi="Arial" w:cs="Arial"/>
          <w:sz w:val="20"/>
          <w:szCs w:val="20"/>
        </w:rPr>
        <w:t>Service Delivery – Client Services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Physical Location: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5F01DA">
        <w:rPr>
          <w:rFonts w:ascii="Arial" w:hAnsi="Arial" w:cs="Arial"/>
          <w:sz w:val="20"/>
          <w:szCs w:val="20"/>
        </w:rPr>
        <w:t>Various</w:t>
      </w:r>
    </w:p>
    <w:p w:rsidR="00C13729" w:rsidRPr="00D725BE" w:rsidRDefault="00A26E0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JDF </w:t>
      </w:r>
      <w:r w:rsidR="002F2E4B" w:rsidRPr="00D725BE">
        <w:rPr>
          <w:rFonts w:ascii="Arial" w:hAnsi="Arial" w:cs="Arial"/>
          <w:sz w:val="20"/>
          <w:szCs w:val="20"/>
        </w:rPr>
        <w:t xml:space="preserve">Review </w:t>
      </w:r>
      <w:r w:rsidR="00D12382" w:rsidRPr="00D725BE">
        <w:rPr>
          <w:rFonts w:ascii="Arial" w:hAnsi="Arial" w:cs="Arial"/>
          <w:sz w:val="20"/>
          <w:szCs w:val="20"/>
        </w:rPr>
        <w:t>Date:</w:t>
      </w:r>
      <w:r w:rsidRPr="00D725BE">
        <w:rPr>
          <w:rFonts w:ascii="Arial" w:hAnsi="Arial" w:cs="Arial"/>
          <w:sz w:val="20"/>
          <w:szCs w:val="20"/>
        </w:rPr>
        <w:tab/>
      </w:r>
      <w:r w:rsidR="00D12382" w:rsidRPr="00D725BE">
        <w:rPr>
          <w:rFonts w:ascii="Arial" w:hAnsi="Arial" w:cs="Arial"/>
          <w:sz w:val="20"/>
          <w:szCs w:val="20"/>
        </w:rPr>
        <w:tab/>
      </w:r>
      <w:r w:rsidR="005F01DA">
        <w:rPr>
          <w:rFonts w:ascii="Arial" w:hAnsi="Arial" w:cs="Arial"/>
          <w:sz w:val="20"/>
          <w:szCs w:val="20"/>
        </w:rPr>
        <w:t>Jessica Boucher 02/09/2015</w:t>
      </w:r>
    </w:p>
    <w:p w:rsidR="00452547" w:rsidRPr="00D725BE" w:rsidRDefault="002F2E4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Position </w:t>
      </w:r>
      <w:r w:rsidR="00ED213C">
        <w:rPr>
          <w:rFonts w:ascii="Arial" w:hAnsi="Arial" w:cs="Arial"/>
          <w:sz w:val="20"/>
          <w:szCs w:val="20"/>
        </w:rPr>
        <w:t>Creation</w:t>
      </w:r>
      <w:r w:rsidRPr="00D725BE">
        <w:rPr>
          <w:rFonts w:ascii="Arial" w:hAnsi="Arial" w:cs="Arial"/>
          <w:sz w:val="20"/>
          <w:szCs w:val="20"/>
        </w:rPr>
        <w:t xml:space="preserve"> </w:t>
      </w:r>
      <w:r w:rsidR="00ED213C">
        <w:rPr>
          <w:rFonts w:ascii="Arial" w:hAnsi="Arial" w:cs="Arial"/>
          <w:sz w:val="20"/>
          <w:szCs w:val="20"/>
        </w:rPr>
        <w:t>D</w:t>
      </w:r>
      <w:r w:rsidRPr="00D725BE">
        <w:rPr>
          <w:rFonts w:ascii="Arial" w:hAnsi="Arial" w:cs="Arial"/>
          <w:sz w:val="20"/>
          <w:szCs w:val="20"/>
        </w:rPr>
        <w:t>ate: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</w:p>
    <w:p w:rsidR="00DE7B4D" w:rsidRPr="00D725BE" w:rsidRDefault="00DE7B4D" w:rsidP="000C3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547" w:rsidRPr="00D725BE" w:rsidRDefault="006311DD" w:rsidP="00452547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REPORTING RELA</w:t>
      </w:r>
      <w:r w:rsidR="0061350F" w:rsidRPr="00D725BE">
        <w:rPr>
          <w:rFonts w:ascii="Arial" w:hAnsi="Arial" w:cs="Arial"/>
          <w:b/>
        </w:rPr>
        <w:t>T</w:t>
      </w:r>
      <w:r w:rsidRPr="00D725BE">
        <w:rPr>
          <w:rFonts w:ascii="Arial" w:hAnsi="Arial" w:cs="Arial"/>
          <w:b/>
        </w:rPr>
        <w:t>IONSHIP</w:t>
      </w:r>
    </w:p>
    <w:p w:rsidR="0061350F" w:rsidRPr="00D725BE" w:rsidRDefault="00DB7A2E" w:rsidP="00452547">
      <w:pPr>
        <w:spacing w:after="0" w:line="1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1350F" w:rsidRPr="00D725BE" w:rsidRDefault="00C13729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This position reports to:</w:t>
      </w:r>
      <w:r w:rsidRPr="00D725BE">
        <w:rPr>
          <w:rFonts w:ascii="Arial" w:hAnsi="Arial" w:cs="Arial"/>
          <w:sz w:val="20"/>
          <w:szCs w:val="20"/>
        </w:rPr>
        <w:tab/>
      </w:r>
      <w:r w:rsidR="005F01DA">
        <w:rPr>
          <w:rFonts w:ascii="Arial" w:hAnsi="Arial" w:cs="Arial"/>
          <w:sz w:val="20"/>
          <w:szCs w:val="20"/>
        </w:rPr>
        <w:t>Manager Housing Services</w:t>
      </w:r>
      <w:r w:rsidR="00BB58A5">
        <w:rPr>
          <w:rFonts w:ascii="Arial" w:hAnsi="Arial" w:cs="Arial"/>
          <w:sz w:val="20"/>
          <w:szCs w:val="20"/>
        </w:rPr>
        <w:t xml:space="preserve">, </w:t>
      </w:r>
      <w:r w:rsidR="000E026F" w:rsidRPr="00D725BE">
        <w:rPr>
          <w:rFonts w:ascii="Arial" w:hAnsi="Arial" w:cs="Arial"/>
          <w:sz w:val="20"/>
          <w:szCs w:val="20"/>
        </w:rPr>
        <w:t>Level 6</w:t>
      </w:r>
    </w:p>
    <w:p w:rsidR="0061350F" w:rsidRDefault="00194693" w:rsidP="0061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position has the following subordinates: </w:t>
      </w:r>
      <w:r w:rsidR="005F01DA">
        <w:rPr>
          <w:rFonts w:ascii="Arial" w:hAnsi="Arial" w:cs="Arial"/>
          <w:sz w:val="20"/>
          <w:szCs w:val="20"/>
        </w:rPr>
        <w:t>Case Manager, Level 4</w:t>
      </w:r>
    </w:p>
    <w:p w:rsidR="005F01DA" w:rsidRPr="005F01DA" w:rsidRDefault="005F01DA" w:rsidP="000C3191">
      <w:pPr>
        <w:spacing w:after="0"/>
        <w:rPr>
          <w:rFonts w:ascii="Arial" w:hAnsi="Arial" w:cs="Arial"/>
          <w:sz w:val="20"/>
          <w:szCs w:val="20"/>
        </w:rPr>
      </w:pPr>
    </w:p>
    <w:p w:rsidR="00452547" w:rsidRPr="002C34EE" w:rsidRDefault="0061350F" w:rsidP="00452547">
      <w:pPr>
        <w:spacing w:after="0"/>
        <w:rPr>
          <w:rFonts w:ascii="Arial" w:hAnsi="Arial" w:cs="Arial"/>
          <w:b/>
        </w:rPr>
      </w:pPr>
      <w:r w:rsidRPr="002C34EE">
        <w:rPr>
          <w:rFonts w:ascii="Arial" w:hAnsi="Arial" w:cs="Arial"/>
          <w:b/>
        </w:rPr>
        <w:t xml:space="preserve">ABOUT THE </w:t>
      </w:r>
      <w:r w:rsidR="002C34EE" w:rsidRPr="002C34EE">
        <w:rPr>
          <w:rFonts w:ascii="Arial" w:hAnsi="Arial" w:cs="Arial"/>
          <w:b/>
        </w:rPr>
        <w:t>HOUSING AUTHORITY</w:t>
      </w:r>
    </w:p>
    <w:p w:rsidR="0061350F" w:rsidRPr="002C34EE" w:rsidRDefault="00DB7A2E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0a0a0" stroked="f"/>
        </w:pict>
      </w:r>
    </w:p>
    <w:p w:rsidR="0061350F" w:rsidRPr="00D725BE" w:rsidRDefault="00976BB1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The Housing </w:t>
      </w:r>
      <w:r w:rsidR="002C34EE" w:rsidRPr="00D725BE">
        <w:rPr>
          <w:rFonts w:ascii="Arial" w:hAnsi="Arial" w:cs="Arial"/>
          <w:sz w:val="20"/>
          <w:szCs w:val="20"/>
        </w:rPr>
        <w:t xml:space="preserve">Authority </w:t>
      </w:r>
      <w:r w:rsidRPr="00D725BE">
        <w:rPr>
          <w:rFonts w:ascii="Arial" w:hAnsi="Arial" w:cs="Arial"/>
          <w:sz w:val="20"/>
          <w:szCs w:val="20"/>
        </w:rPr>
        <w:t xml:space="preserve">is an affordable housing provider involved in land development, housing construction and property management.  </w:t>
      </w:r>
      <w:proofErr w:type="gramStart"/>
      <w:r w:rsidRPr="00D725BE">
        <w:rPr>
          <w:rFonts w:ascii="Arial" w:hAnsi="Arial" w:cs="Arial"/>
          <w:sz w:val="20"/>
          <w:szCs w:val="20"/>
        </w:rPr>
        <w:t>Working in partnership to build economic and social prosperity by enabling Western Australians to have a place to call home.</w:t>
      </w:r>
      <w:proofErr w:type="gramEnd"/>
    </w:p>
    <w:p w:rsidR="0061350F" w:rsidRDefault="0061350F" w:rsidP="000C3191">
      <w:pPr>
        <w:spacing w:after="0"/>
        <w:rPr>
          <w:rFonts w:ascii="Arial" w:hAnsi="Arial" w:cs="Arial"/>
          <w:b/>
        </w:rPr>
      </w:pPr>
    </w:p>
    <w:p w:rsidR="00452547" w:rsidRDefault="0061350F" w:rsidP="004525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="00E632AE">
        <w:rPr>
          <w:rFonts w:ascii="Arial" w:hAnsi="Arial" w:cs="Arial"/>
          <w:b/>
        </w:rPr>
        <w:t>STATEMENT</w:t>
      </w:r>
    </w:p>
    <w:p w:rsidR="0061350F" w:rsidRDefault="00DB7A2E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0a0a0" stroked="f"/>
        </w:pict>
      </w:r>
    </w:p>
    <w:p w:rsidR="0061350F" w:rsidRDefault="005F01DA" w:rsidP="0061350F">
      <w:pPr>
        <w:rPr>
          <w:rFonts w:ascii="Arial" w:hAnsi="Arial" w:cs="Arial"/>
          <w:b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Investigates complex complaints made against public housing tenants and takes action to manage disruptive </w:t>
      </w:r>
      <w:proofErr w:type="spellStart"/>
      <w:r w:rsidRPr="005F01DA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5F01DA">
        <w:rPr>
          <w:rFonts w:ascii="Arial" w:hAnsi="Arial" w:cs="Arial"/>
          <w:sz w:val="20"/>
          <w:szCs w:val="20"/>
          <w:lang w:val="en-US"/>
        </w:rPr>
        <w:t xml:space="preserve"> in accordance with Departmental Policy.  </w:t>
      </w:r>
      <w:proofErr w:type="gramStart"/>
      <w:r w:rsidRPr="005F01DA">
        <w:rPr>
          <w:rFonts w:ascii="Arial" w:hAnsi="Arial" w:cs="Arial"/>
          <w:sz w:val="20"/>
          <w:szCs w:val="20"/>
          <w:lang w:val="en-US"/>
        </w:rPr>
        <w:t>Supervises the activities of Case Managers.</w:t>
      </w:r>
      <w:proofErr w:type="gramEnd"/>
      <w:r w:rsidRPr="005F01D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C3191" w:rsidRDefault="000C3191" w:rsidP="00452547">
      <w:pPr>
        <w:spacing w:after="0"/>
        <w:rPr>
          <w:rFonts w:ascii="Arial" w:hAnsi="Arial" w:cs="Arial"/>
          <w:b/>
        </w:rPr>
      </w:pPr>
    </w:p>
    <w:p w:rsidR="00452547" w:rsidRDefault="0061350F" w:rsidP="004525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DUTIES AND RESPONSIBILITIES</w:t>
      </w:r>
    </w:p>
    <w:p w:rsidR="0061350F" w:rsidRDefault="00DB7A2E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0a0a0" stroked="f"/>
        </w:pict>
      </w:r>
    </w:p>
    <w:p w:rsidR="006D0D8E" w:rsidRPr="00D95BE7" w:rsidRDefault="005F01DA" w:rsidP="00C3631E">
      <w:pPr>
        <w:spacing w:before="120" w:after="0"/>
        <w:rPr>
          <w:rFonts w:ascii="Arial" w:hAnsi="Arial" w:cs="Arial"/>
          <w:b/>
          <w:sz w:val="20"/>
          <w:szCs w:val="20"/>
          <w:lang w:val="en-US"/>
        </w:rPr>
      </w:pPr>
      <w:r w:rsidRPr="005F01DA">
        <w:rPr>
          <w:rFonts w:ascii="Arial" w:hAnsi="Arial" w:cs="Arial"/>
          <w:b/>
          <w:sz w:val="20"/>
          <w:szCs w:val="20"/>
          <w:lang w:val="en-US"/>
        </w:rPr>
        <w:t>Investigation and Complaints Management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Investigates complex disruptive </w:t>
      </w:r>
      <w:proofErr w:type="spellStart"/>
      <w:r w:rsidRPr="005F01DA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5F01DA">
        <w:rPr>
          <w:rFonts w:ascii="Arial" w:hAnsi="Arial" w:cs="Arial"/>
          <w:sz w:val="20"/>
          <w:szCs w:val="20"/>
          <w:lang w:val="en-US"/>
        </w:rPr>
        <w:t xml:space="preserve"> complaints made against tenants applying a high standard of investigative practice. 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Conducts interviews, gathers, records and assesses evidence to establish the facts of a complaint, makes findings and takes action in accordance with policy.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Makes recommendations with respect to pursuing legal action in accordance with policy.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Contributes to the preparation of submissions to senior management in relation to legal action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Prepares high quality reports and correspondence.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Accurately records and tracks complaints and outcomes within prescribed timeframes.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Provides accurate and timely advice to tenants and complainants about legal processes, policy and outcomes, while adhering to privacy requirements.</w:t>
      </w:r>
    </w:p>
    <w:p w:rsidR="005F01DA" w:rsidRPr="005F01DA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lastRenderedPageBreak/>
        <w:t>Identifies issues arising from investigations and recommends further action where appropriate.</w:t>
      </w:r>
    </w:p>
    <w:p w:rsidR="007105D1" w:rsidRPr="00EB0B62" w:rsidRDefault="005F01DA" w:rsidP="00C3631E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Supervises the activities of Case Managers, providing guidance and assistance on case management issues and work flow management.</w:t>
      </w:r>
    </w:p>
    <w:p w:rsidR="007105D1" w:rsidRPr="00D95BE7" w:rsidRDefault="005F01DA" w:rsidP="00C3631E">
      <w:pPr>
        <w:spacing w:before="120" w:after="0"/>
        <w:rPr>
          <w:rFonts w:ascii="Arial" w:hAnsi="Arial" w:cs="Arial"/>
          <w:b/>
          <w:sz w:val="20"/>
          <w:szCs w:val="20"/>
          <w:lang w:val="en-US"/>
        </w:rPr>
      </w:pPr>
      <w:r w:rsidRPr="005F01DA">
        <w:rPr>
          <w:rFonts w:ascii="Arial" w:hAnsi="Arial" w:cs="Arial"/>
          <w:b/>
          <w:sz w:val="20"/>
          <w:szCs w:val="20"/>
          <w:lang w:val="en-US"/>
        </w:rPr>
        <w:t>Tenancy Management</w:t>
      </w:r>
    </w:p>
    <w:p w:rsidR="005F01DA" w:rsidRPr="005F01DA" w:rsidRDefault="005F01DA" w:rsidP="00C3631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Maintains contact with tenants, effectively communicating the impact upon the tenancy of relevant policies.  </w:t>
      </w:r>
    </w:p>
    <w:p w:rsidR="005F01DA" w:rsidRPr="005F01DA" w:rsidRDefault="005F01DA" w:rsidP="00C3631E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Makes referrals for tenants to external support agencies to address issues contributing to disruptive </w:t>
      </w:r>
      <w:proofErr w:type="spellStart"/>
      <w:r w:rsidRPr="005F01DA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5F01DA">
        <w:rPr>
          <w:rFonts w:ascii="Arial" w:hAnsi="Arial" w:cs="Arial"/>
          <w:sz w:val="20"/>
          <w:szCs w:val="20"/>
          <w:lang w:val="en-US"/>
        </w:rPr>
        <w:t>.</w:t>
      </w:r>
    </w:p>
    <w:p w:rsidR="005F01DA" w:rsidRPr="005F01DA" w:rsidRDefault="005F01DA" w:rsidP="00C3631E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Works effectively with external support providers to intervene in support of dysfunctional tenancies and seek to resolve issues of disruptive </w:t>
      </w:r>
      <w:proofErr w:type="spellStart"/>
      <w:r w:rsidRPr="005F01DA">
        <w:rPr>
          <w:rFonts w:ascii="Arial" w:hAnsi="Arial" w:cs="Arial"/>
          <w:sz w:val="20"/>
          <w:szCs w:val="20"/>
          <w:lang w:val="en-US"/>
        </w:rPr>
        <w:t>beh</w:t>
      </w:r>
      <w:bookmarkStart w:id="0" w:name="_GoBack"/>
      <w:bookmarkEnd w:id="0"/>
      <w:r w:rsidRPr="005F01DA">
        <w:rPr>
          <w:rFonts w:ascii="Arial" w:hAnsi="Arial" w:cs="Arial"/>
          <w:sz w:val="20"/>
          <w:szCs w:val="20"/>
          <w:lang w:val="en-US"/>
        </w:rPr>
        <w:t>aviour</w:t>
      </w:r>
      <w:proofErr w:type="spellEnd"/>
      <w:r w:rsidRPr="005F01DA">
        <w:rPr>
          <w:rFonts w:ascii="Arial" w:hAnsi="Arial" w:cs="Arial"/>
          <w:sz w:val="20"/>
          <w:szCs w:val="20"/>
          <w:lang w:val="en-US"/>
        </w:rPr>
        <w:t>.</w:t>
      </w:r>
    </w:p>
    <w:p w:rsidR="005F01DA" w:rsidRPr="005F01DA" w:rsidRDefault="005F01DA" w:rsidP="00C3631E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Liaises with mediators to resolve low-level disputes, where available and appropriate</w:t>
      </w:r>
    </w:p>
    <w:p w:rsidR="007105D1" w:rsidRPr="00EB0B62" w:rsidRDefault="005F01DA" w:rsidP="00C3631E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Researches, investigates and reports on Executive, Parliamentary, Ministerial and Ombudsman enquiries related to disruptive </w:t>
      </w:r>
      <w:proofErr w:type="spellStart"/>
      <w:r w:rsidRPr="005F01DA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5F01DA">
        <w:rPr>
          <w:rFonts w:ascii="Arial" w:hAnsi="Arial" w:cs="Arial"/>
          <w:sz w:val="20"/>
          <w:szCs w:val="20"/>
          <w:lang w:val="en-US"/>
        </w:rPr>
        <w:t xml:space="preserve"> matters.</w:t>
      </w:r>
    </w:p>
    <w:p w:rsidR="003838E5" w:rsidRPr="00D95BE7" w:rsidRDefault="005F01DA" w:rsidP="00C3631E">
      <w:pPr>
        <w:spacing w:before="120" w:after="0"/>
        <w:rPr>
          <w:rFonts w:ascii="Arial" w:hAnsi="Arial" w:cs="Arial"/>
          <w:b/>
          <w:sz w:val="20"/>
          <w:szCs w:val="20"/>
          <w:lang w:val="en-US"/>
        </w:rPr>
      </w:pPr>
      <w:r w:rsidRPr="005F01DA">
        <w:rPr>
          <w:rFonts w:ascii="Arial" w:hAnsi="Arial" w:cs="Arial"/>
          <w:b/>
          <w:sz w:val="20"/>
          <w:szCs w:val="20"/>
          <w:lang w:val="en-US"/>
        </w:rPr>
        <w:t>Liaison and Negotiation</w:t>
      </w:r>
    </w:p>
    <w:p w:rsidR="005F01DA" w:rsidRPr="005F01DA" w:rsidRDefault="005F01DA" w:rsidP="00C3631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 xml:space="preserve">Liaises with senior staff and regional offices as required to manage cases of disruptive </w:t>
      </w:r>
      <w:proofErr w:type="spellStart"/>
      <w:r w:rsidRPr="005F01DA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5F01DA">
        <w:rPr>
          <w:rFonts w:ascii="Arial" w:hAnsi="Arial" w:cs="Arial"/>
          <w:sz w:val="20"/>
          <w:szCs w:val="20"/>
          <w:lang w:val="en-US"/>
        </w:rPr>
        <w:t>.</w:t>
      </w:r>
    </w:p>
    <w:p w:rsidR="005F01DA" w:rsidRPr="005F01DA" w:rsidRDefault="005F01DA" w:rsidP="00C3631E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Engages external stakeholders at officer level to assist in investigating complaints and progressing legal action.</w:t>
      </w:r>
    </w:p>
    <w:p w:rsidR="005F01DA" w:rsidRPr="005F01DA" w:rsidRDefault="005F01DA" w:rsidP="00C3631E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Initiates, develops and maintains networks and good working relationships with external support providers.</w:t>
      </w:r>
    </w:p>
    <w:p w:rsidR="005F01DA" w:rsidRPr="005F01DA" w:rsidRDefault="005F01DA" w:rsidP="00C3631E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Other</w:t>
      </w:r>
    </w:p>
    <w:p w:rsidR="005F01DA" w:rsidRPr="005F01DA" w:rsidRDefault="005F01DA" w:rsidP="00C3631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Represents the Department at external forums as required.</w:t>
      </w:r>
    </w:p>
    <w:p w:rsidR="005F01DA" w:rsidRPr="005F01DA" w:rsidRDefault="005F01DA" w:rsidP="00C3631E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5F01DA">
        <w:rPr>
          <w:rFonts w:ascii="Arial" w:hAnsi="Arial" w:cs="Arial"/>
          <w:sz w:val="20"/>
          <w:szCs w:val="20"/>
          <w:lang w:val="en-US"/>
        </w:rPr>
        <w:t>Performs other duties as required.</w:t>
      </w:r>
    </w:p>
    <w:p w:rsidR="006D0D8E" w:rsidRDefault="006D0D8E" w:rsidP="00C34DF7">
      <w:pPr>
        <w:spacing w:after="0"/>
        <w:rPr>
          <w:rFonts w:ascii="Arial" w:hAnsi="Arial" w:cs="Arial"/>
          <w:b/>
        </w:rPr>
      </w:pPr>
    </w:p>
    <w:p w:rsidR="00C34DF7" w:rsidRDefault="0061350F" w:rsidP="00C34D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CRITERIA</w:t>
      </w:r>
    </w:p>
    <w:p w:rsidR="0061350F" w:rsidRDefault="00DB7A2E" w:rsidP="00C34DF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0" style="width:0;height:1.5pt" o:hralign="center" o:hrstd="t" o:hr="t" fillcolor="#a0a0a0" stroked="f"/>
        </w:pict>
      </w:r>
    </w:p>
    <w:p w:rsidR="0061350F" w:rsidRPr="00D725BE" w:rsidRDefault="0061350F" w:rsidP="00C3631E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D725BE">
        <w:rPr>
          <w:rFonts w:ascii="Arial" w:hAnsi="Arial" w:cs="Arial"/>
          <w:b/>
          <w:sz w:val="20"/>
          <w:szCs w:val="20"/>
        </w:rPr>
        <w:t>ESSENTIAL</w:t>
      </w:r>
    </w:p>
    <w:p w:rsidR="005F01DA" w:rsidRPr="005F01DA" w:rsidRDefault="005F01DA" w:rsidP="00C3631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 xml:space="preserve">Highly developed oral and interpersonal skills with the ability to conduct confidential interviews with a diverse range of people on complex, sensitive and disputed issues. </w:t>
      </w:r>
    </w:p>
    <w:p w:rsidR="005F01DA" w:rsidRPr="005F01DA" w:rsidRDefault="005F01DA" w:rsidP="00C3631E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Highly developed written communication skills including report writing.</w:t>
      </w:r>
    </w:p>
    <w:p w:rsidR="005F01DA" w:rsidRPr="005F01DA" w:rsidRDefault="005F01DA" w:rsidP="00C3631E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Demonstrated analytical and evaluation skills with an ability to interpret and apply policy and legislation.</w:t>
      </w:r>
    </w:p>
    <w:p w:rsidR="005F01DA" w:rsidRPr="005F01DA" w:rsidRDefault="005F01DA" w:rsidP="00C3631E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Demonstrated supervisory skills with the ability to coach and mentor staff.</w:t>
      </w:r>
    </w:p>
    <w:p w:rsidR="005F01DA" w:rsidRPr="005F01DA" w:rsidRDefault="00240C8F" w:rsidP="00C3631E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Well-developed</w:t>
      </w:r>
      <w:r w:rsidR="005F01DA" w:rsidRPr="005F01DA">
        <w:rPr>
          <w:rFonts w:ascii="Arial" w:hAnsi="Arial" w:cs="Arial"/>
          <w:sz w:val="20"/>
          <w:szCs w:val="20"/>
        </w:rPr>
        <w:t xml:space="preserve"> organisation skills with the ability to plan and prioritise workloads to meet tight deadlines and work with minimal supervision.</w:t>
      </w:r>
    </w:p>
    <w:p w:rsidR="005F01DA" w:rsidRPr="005F01DA" w:rsidRDefault="005F01DA" w:rsidP="00C3631E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 xml:space="preserve">A strong client focus with demonstrated knowledge and understanding of the issues impacting Aboriginal people and demonstrated experience in,  or ability to work and engage effectively with Aboriginal people in a sensitive manner.    </w:t>
      </w:r>
    </w:p>
    <w:p w:rsidR="006D0D8E" w:rsidRDefault="005F01DA" w:rsidP="00C3631E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Current ‘C’ Class driver’s licence.</w:t>
      </w:r>
    </w:p>
    <w:p w:rsidR="00C3631E" w:rsidRPr="00D725BE" w:rsidRDefault="00C3631E" w:rsidP="00C3631E">
      <w:pPr>
        <w:pStyle w:val="ListParagraph"/>
        <w:spacing w:before="240" w:after="0"/>
        <w:ind w:left="360"/>
        <w:rPr>
          <w:rFonts w:ascii="Arial" w:hAnsi="Arial" w:cs="Arial"/>
          <w:sz w:val="20"/>
          <w:szCs w:val="20"/>
        </w:rPr>
      </w:pPr>
    </w:p>
    <w:p w:rsidR="00194693" w:rsidRDefault="00194693" w:rsidP="00C3631E">
      <w:pPr>
        <w:spacing w:after="0"/>
        <w:rPr>
          <w:rFonts w:ascii="Arial" w:hAnsi="Arial" w:cs="Arial"/>
          <w:b/>
          <w:sz w:val="20"/>
          <w:szCs w:val="20"/>
        </w:rPr>
      </w:pPr>
      <w:r w:rsidRPr="00194693">
        <w:rPr>
          <w:rFonts w:ascii="Arial" w:hAnsi="Arial" w:cs="Arial"/>
          <w:b/>
          <w:sz w:val="20"/>
          <w:szCs w:val="20"/>
        </w:rPr>
        <w:t>DESIRABLE</w:t>
      </w:r>
    </w:p>
    <w:p w:rsidR="005F01DA" w:rsidRPr="005F01DA" w:rsidRDefault="005F01DA" w:rsidP="00C3631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Tertiary qualification in social sciences, humanities, and/or property management.</w:t>
      </w:r>
    </w:p>
    <w:p w:rsidR="002F42B3" w:rsidRPr="005F01DA" w:rsidRDefault="005F01DA" w:rsidP="00C3631E">
      <w:pPr>
        <w:pStyle w:val="ListParagraph"/>
        <w:numPr>
          <w:ilvl w:val="0"/>
          <w:numId w:val="10"/>
        </w:numPr>
        <w:spacing w:before="240" w:after="0"/>
        <w:rPr>
          <w:rFonts w:ascii="Arial" w:hAnsi="Arial" w:cs="Arial"/>
          <w:sz w:val="20"/>
          <w:szCs w:val="20"/>
        </w:rPr>
      </w:pPr>
      <w:r w:rsidRPr="005F01DA">
        <w:rPr>
          <w:rFonts w:ascii="Arial" w:hAnsi="Arial" w:cs="Arial"/>
          <w:sz w:val="20"/>
          <w:szCs w:val="20"/>
        </w:rPr>
        <w:t>Demonstrated knowledge of the issues affecting public housing tenants.</w:t>
      </w:r>
    </w:p>
    <w:sectPr w:rsidR="002F42B3" w:rsidRPr="005F01DA" w:rsidSect="00FE32E8">
      <w:headerReference w:type="default" r:id="rId9"/>
      <w:footerReference w:type="default" r:id="rId10"/>
      <w:headerReference w:type="first" r:id="rId11"/>
      <w:pgSz w:w="11906" w:h="16838"/>
      <w:pgMar w:top="1113" w:right="720" w:bottom="720" w:left="720" w:header="708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9E" w:rsidRDefault="0071659E" w:rsidP="0071659E">
      <w:pPr>
        <w:spacing w:after="0" w:line="240" w:lineRule="auto"/>
      </w:pPr>
      <w:r>
        <w:separator/>
      </w:r>
    </w:p>
  </w:endnote>
  <w:endnote w:type="continuationSeparator" w:id="0">
    <w:p w:rsidR="0071659E" w:rsidRDefault="0071659E" w:rsidP="007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468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5BE" w:rsidRDefault="00D725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A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A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5BE" w:rsidRDefault="00D72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9E" w:rsidRDefault="0071659E" w:rsidP="0071659E">
      <w:pPr>
        <w:spacing w:after="0" w:line="240" w:lineRule="auto"/>
      </w:pPr>
      <w:r>
        <w:separator/>
      </w:r>
    </w:p>
  </w:footnote>
  <w:footnote w:type="continuationSeparator" w:id="0">
    <w:p w:rsidR="0071659E" w:rsidRDefault="0071659E" w:rsidP="0071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D1" w:rsidRDefault="00094A21">
    <w:pPr>
      <w:pStyle w:val="Header"/>
    </w:pPr>
    <w:r>
      <w:rPr>
        <w:noProof/>
        <w:lang w:eastAsia="en-AU"/>
      </w:rPr>
      <w:drawing>
        <wp:inline distT="0" distB="0" distL="0" distR="0" wp14:anchorId="3BBFAE8C" wp14:editId="43980F92">
          <wp:extent cx="3219450" cy="619125"/>
          <wp:effectExtent l="0" t="0" r="0" b="9525"/>
          <wp:docPr id="5" name="Picture 5" descr="U:\Human Resources\HR Client Services Team\Classification &amp; Establishment\6) Forms &amp; Templates\Housing Au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:\Human Resources\HR Client Services Team\Classification &amp; Establishment\6) Forms &amp; Templates\Housing Au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5D1" w:rsidRDefault="00710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80" w:rsidRDefault="00777480" w:rsidP="00777480">
    <w:pPr>
      <w:pStyle w:val="Header"/>
    </w:pPr>
    <w:r>
      <w:rPr>
        <w:noProof/>
        <w:lang w:eastAsia="en-AU"/>
      </w:rPr>
      <w:drawing>
        <wp:inline distT="0" distB="0" distL="0" distR="0" wp14:anchorId="3B9A1E4B" wp14:editId="2288FD50">
          <wp:extent cx="2790825" cy="53759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5477" cy="53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480" w:rsidRDefault="00777480" w:rsidP="00777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049"/>
    <w:multiLevelType w:val="hybridMultilevel"/>
    <w:tmpl w:val="798EAF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95EEE"/>
    <w:multiLevelType w:val="hybridMultilevel"/>
    <w:tmpl w:val="18CA6934"/>
    <w:lvl w:ilvl="0" w:tplc="80D6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A70CD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F2C68"/>
    <w:multiLevelType w:val="hybridMultilevel"/>
    <w:tmpl w:val="283E4D6C"/>
    <w:lvl w:ilvl="0" w:tplc="2AC40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19CB"/>
    <w:multiLevelType w:val="hybridMultilevel"/>
    <w:tmpl w:val="69FC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194A"/>
    <w:multiLevelType w:val="hybridMultilevel"/>
    <w:tmpl w:val="D840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F6E5C"/>
    <w:multiLevelType w:val="hybridMultilevel"/>
    <w:tmpl w:val="F900F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6880"/>
    <w:multiLevelType w:val="hybridMultilevel"/>
    <w:tmpl w:val="334685B0"/>
    <w:lvl w:ilvl="0" w:tplc="99700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E26"/>
    <w:multiLevelType w:val="hybridMultilevel"/>
    <w:tmpl w:val="B0E27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76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AD25D9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A47B4"/>
    <w:multiLevelType w:val="hybridMultilevel"/>
    <w:tmpl w:val="34D07CD2"/>
    <w:lvl w:ilvl="0" w:tplc="24367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375E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9E"/>
    <w:rsid w:val="00094A21"/>
    <w:rsid w:val="000C3191"/>
    <w:rsid w:val="000E026F"/>
    <w:rsid w:val="00134D6F"/>
    <w:rsid w:val="00146821"/>
    <w:rsid w:val="00173A8E"/>
    <w:rsid w:val="00194693"/>
    <w:rsid w:val="00240C8F"/>
    <w:rsid w:val="002C34EE"/>
    <w:rsid w:val="002D39A8"/>
    <w:rsid w:val="002F2E4B"/>
    <w:rsid w:val="002F42B3"/>
    <w:rsid w:val="0037506C"/>
    <w:rsid w:val="003838E5"/>
    <w:rsid w:val="003B2BF9"/>
    <w:rsid w:val="00411245"/>
    <w:rsid w:val="00452547"/>
    <w:rsid w:val="00457372"/>
    <w:rsid w:val="004D1259"/>
    <w:rsid w:val="004D2D9F"/>
    <w:rsid w:val="005647EC"/>
    <w:rsid w:val="005C518D"/>
    <w:rsid w:val="005F01DA"/>
    <w:rsid w:val="0061350F"/>
    <w:rsid w:val="006311DD"/>
    <w:rsid w:val="00677F8A"/>
    <w:rsid w:val="006D0D8E"/>
    <w:rsid w:val="007105D1"/>
    <w:rsid w:val="0071659E"/>
    <w:rsid w:val="00764A41"/>
    <w:rsid w:val="00777480"/>
    <w:rsid w:val="007B07A9"/>
    <w:rsid w:val="007D61EA"/>
    <w:rsid w:val="00915330"/>
    <w:rsid w:val="00976BB1"/>
    <w:rsid w:val="00A04356"/>
    <w:rsid w:val="00A05708"/>
    <w:rsid w:val="00A26E0B"/>
    <w:rsid w:val="00A9043F"/>
    <w:rsid w:val="00AB1FAB"/>
    <w:rsid w:val="00AC066E"/>
    <w:rsid w:val="00AE107B"/>
    <w:rsid w:val="00B00DC8"/>
    <w:rsid w:val="00B772AF"/>
    <w:rsid w:val="00B80DB3"/>
    <w:rsid w:val="00BB58A5"/>
    <w:rsid w:val="00BB6497"/>
    <w:rsid w:val="00BC3411"/>
    <w:rsid w:val="00C13729"/>
    <w:rsid w:val="00C34DF7"/>
    <w:rsid w:val="00C3631E"/>
    <w:rsid w:val="00CB6326"/>
    <w:rsid w:val="00CE5413"/>
    <w:rsid w:val="00D0722C"/>
    <w:rsid w:val="00D12382"/>
    <w:rsid w:val="00D25E1C"/>
    <w:rsid w:val="00D612EE"/>
    <w:rsid w:val="00D725BE"/>
    <w:rsid w:val="00D95BE7"/>
    <w:rsid w:val="00DB7A2E"/>
    <w:rsid w:val="00DE7B4D"/>
    <w:rsid w:val="00E52A40"/>
    <w:rsid w:val="00E632AE"/>
    <w:rsid w:val="00EB0B62"/>
    <w:rsid w:val="00ED0CFE"/>
    <w:rsid w:val="00ED213C"/>
    <w:rsid w:val="00F22500"/>
    <w:rsid w:val="00FD23F6"/>
    <w:rsid w:val="00FE32E8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9E"/>
  </w:style>
  <w:style w:type="paragraph" w:styleId="Footer">
    <w:name w:val="footer"/>
    <w:basedOn w:val="Normal"/>
    <w:link w:val="Foot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9E"/>
  </w:style>
  <w:style w:type="paragraph" w:styleId="BalloonText">
    <w:name w:val="Balloon Text"/>
    <w:basedOn w:val="Normal"/>
    <w:link w:val="BalloonTextChar"/>
    <w:uiPriority w:val="99"/>
    <w:semiHidden/>
    <w:unhideWhenUsed/>
    <w:rsid w:val="007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9E"/>
  </w:style>
  <w:style w:type="paragraph" w:styleId="Footer">
    <w:name w:val="footer"/>
    <w:basedOn w:val="Normal"/>
    <w:link w:val="Foot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9E"/>
  </w:style>
  <w:style w:type="paragraph" w:styleId="BalloonText">
    <w:name w:val="Balloon Text"/>
    <w:basedOn w:val="Normal"/>
    <w:link w:val="BalloonTextChar"/>
    <w:uiPriority w:val="99"/>
    <w:semiHidden/>
    <w:unhideWhenUsed/>
    <w:rsid w:val="007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7AA3-6C85-4FDD-878E-5019A7FB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Beer</dc:creator>
  <cp:lastModifiedBy>Jessica Boucher</cp:lastModifiedBy>
  <cp:revision>5</cp:revision>
  <cp:lastPrinted>2015-09-02T00:24:00Z</cp:lastPrinted>
  <dcterms:created xsi:type="dcterms:W3CDTF">2015-09-02T00:14:00Z</dcterms:created>
  <dcterms:modified xsi:type="dcterms:W3CDTF">2015-09-02T00:24:00Z</dcterms:modified>
</cp:coreProperties>
</file>